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C7" w:rsidRPr="001820F9" w:rsidRDefault="00AA5BDC" w:rsidP="001820F9">
      <w:pPr>
        <w:pStyle w:val="BodyText"/>
        <w:rPr>
          <w:b/>
          <w:sz w:val="28"/>
          <w:szCs w:val="28"/>
        </w:rPr>
      </w:pPr>
      <w:bookmarkStart w:id="0" w:name="_GoBack"/>
      <w:bookmarkEnd w:id="0"/>
      <w:r>
        <w:rPr>
          <w:b/>
          <w:sz w:val="28"/>
          <w:szCs w:val="28"/>
        </w:rPr>
        <w:t xml:space="preserve">Draft - </w:t>
      </w:r>
      <w:r w:rsidR="0017073F">
        <w:rPr>
          <w:b/>
          <w:sz w:val="28"/>
          <w:szCs w:val="28"/>
        </w:rPr>
        <w:t xml:space="preserve">Glen Street Theatre Complimentary Tickets </w:t>
      </w:r>
      <w:r>
        <w:rPr>
          <w:b/>
          <w:sz w:val="28"/>
          <w:szCs w:val="28"/>
        </w:rPr>
        <w:t xml:space="preserve">- </w:t>
      </w:r>
      <w:r w:rsidR="004C27B1">
        <w:rPr>
          <w:b/>
          <w:sz w:val="28"/>
          <w:szCs w:val="28"/>
        </w:rPr>
        <w:t>Policy</w:t>
      </w:r>
    </w:p>
    <w:p w:rsidR="0053047C" w:rsidRDefault="0053047C" w:rsidP="008E1A75">
      <w:pPr>
        <w:pStyle w:val="BodyText"/>
        <w:ind w:left="567" w:hanging="567"/>
        <w:rPr>
          <w:b/>
        </w:rPr>
      </w:pPr>
    </w:p>
    <w:p w:rsidR="009210C7" w:rsidRPr="009210C7" w:rsidRDefault="00F86379" w:rsidP="008E1A75">
      <w:pPr>
        <w:pStyle w:val="BodyText"/>
        <w:ind w:left="567" w:hanging="567"/>
        <w:rPr>
          <w:b/>
        </w:rPr>
      </w:pPr>
      <w:r>
        <w:rPr>
          <w:b/>
        </w:rPr>
        <w:t>P</w:t>
      </w:r>
      <w:r w:rsidR="009210C7" w:rsidRPr="009210C7">
        <w:rPr>
          <w:b/>
        </w:rPr>
        <w:t>olicy Statement</w:t>
      </w:r>
    </w:p>
    <w:p w:rsidR="00240721" w:rsidRDefault="005C1A64" w:rsidP="0017073F">
      <w:pPr>
        <w:pStyle w:val="BodyText"/>
      </w:pPr>
      <w:r>
        <w:t xml:space="preserve">Northern Beaches </w:t>
      </w:r>
      <w:r w:rsidR="0017073F" w:rsidRPr="0017073F">
        <w:t xml:space="preserve">Council is committed to </w:t>
      </w:r>
      <w:r w:rsidR="0017073F">
        <w:t>support</w:t>
      </w:r>
      <w:r>
        <w:t>ing</w:t>
      </w:r>
      <w:r w:rsidR="0017073F">
        <w:t xml:space="preserve"> the arts and creative communities </w:t>
      </w:r>
      <w:r w:rsidR="0017073F" w:rsidRPr="00CE5DE0">
        <w:t>th</w:t>
      </w:r>
      <w:r w:rsidR="000970CF" w:rsidRPr="00CE5DE0">
        <w:t>r</w:t>
      </w:r>
      <w:r w:rsidR="0017073F" w:rsidRPr="00CE5DE0">
        <w:t>ough</w:t>
      </w:r>
      <w:r w:rsidR="0017073F" w:rsidRPr="0017073F">
        <w:t xml:space="preserve"> the </w:t>
      </w:r>
      <w:r w:rsidR="00EC450E">
        <w:t>management</w:t>
      </w:r>
      <w:r w:rsidR="0017073F" w:rsidRPr="0017073F">
        <w:t xml:space="preserve"> of a professional performing arts venue</w:t>
      </w:r>
      <w:r w:rsidR="0017073F">
        <w:t xml:space="preserve">. </w:t>
      </w:r>
      <w:r w:rsidR="00240721">
        <w:t xml:space="preserve">Glen Street Theatre is an integral part of the Northern Beaches cultural fabric and a high profile example of Council building strong relationships with the community and providing cultural leadership. </w:t>
      </w:r>
    </w:p>
    <w:p w:rsidR="0017073F" w:rsidRPr="0017073F" w:rsidRDefault="0017073F" w:rsidP="0017073F">
      <w:pPr>
        <w:pStyle w:val="BodyText"/>
      </w:pPr>
      <w:r w:rsidRPr="0017073F">
        <w:t>The strategic</w:t>
      </w:r>
      <w:r w:rsidR="004F21FA">
        <w:t>, discretionary</w:t>
      </w:r>
      <w:r w:rsidRPr="0017073F">
        <w:t xml:space="preserve"> use of complimentary tickets is a tool to facilitate the governance, promotion, revenue generation, staff training, customer service and community engagement outcomes that underpin Council’s investment in Glen Street Theatre.</w:t>
      </w:r>
    </w:p>
    <w:p w:rsidR="0017073F" w:rsidRDefault="0017073F" w:rsidP="0017073F">
      <w:pPr>
        <w:pStyle w:val="BodyText"/>
        <w:rPr>
          <w:b/>
        </w:rPr>
      </w:pPr>
      <w:r>
        <w:rPr>
          <w:b/>
        </w:rPr>
        <w:t>P</w:t>
      </w:r>
      <w:r w:rsidRPr="009210C7">
        <w:rPr>
          <w:b/>
        </w:rPr>
        <w:t>rinciples</w:t>
      </w:r>
    </w:p>
    <w:p w:rsidR="005E78A1" w:rsidRDefault="005E78A1" w:rsidP="0053047C">
      <w:pPr>
        <w:pStyle w:val="BodyText"/>
        <w:numPr>
          <w:ilvl w:val="0"/>
          <w:numId w:val="43"/>
        </w:numPr>
        <w:ind w:left="567" w:hanging="567"/>
      </w:pPr>
      <w:r w:rsidRPr="005E78A1">
        <w:t xml:space="preserve">Council wishes to maximise its investment in Glen Street Theatre </w:t>
      </w:r>
      <w:r>
        <w:t>and demonstrate best practice in professional theatre management, as identified by industry peak bodies PAC Australia and Live Performance Australia. Glen Street Theatre is a member of both</w:t>
      </w:r>
      <w:r w:rsidR="00EC450E">
        <w:t xml:space="preserve"> organisations.</w:t>
      </w:r>
    </w:p>
    <w:p w:rsidR="005E78A1" w:rsidRDefault="005E78A1" w:rsidP="0053047C">
      <w:pPr>
        <w:pStyle w:val="BodyText"/>
        <w:numPr>
          <w:ilvl w:val="0"/>
          <w:numId w:val="43"/>
        </w:numPr>
        <w:ind w:left="567" w:hanging="567"/>
      </w:pPr>
      <w:r>
        <w:t xml:space="preserve">Theatre tickets are perishable inventory and can only deliver value if they are used. </w:t>
      </w:r>
    </w:p>
    <w:p w:rsidR="005E78A1" w:rsidRDefault="005E78A1" w:rsidP="0053047C">
      <w:pPr>
        <w:pStyle w:val="BodyText"/>
        <w:numPr>
          <w:ilvl w:val="0"/>
          <w:numId w:val="43"/>
        </w:numPr>
        <w:ind w:left="567" w:hanging="567"/>
      </w:pPr>
      <w:r>
        <w:t xml:space="preserve">Government subsidised performing arts venues in Australia maximise the outcomes from government investment </w:t>
      </w:r>
      <w:r w:rsidR="005C1A64">
        <w:t>through</w:t>
      </w:r>
      <w:r>
        <w:t xml:space="preserve"> the strategic use of complimentary tickets</w:t>
      </w:r>
      <w:r w:rsidR="005C1A64">
        <w:t xml:space="preserve"> in order</w:t>
      </w:r>
      <w:r>
        <w:t xml:space="preserve"> to deliver on their business objectives, their community obligations</w:t>
      </w:r>
      <w:r w:rsidR="00EC450E">
        <w:t>,</w:t>
      </w:r>
      <w:r>
        <w:t xml:space="preserve"> and </w:t>
      </w:r>
      <w:r w:rsidR="00EC450E">
        <w:t xml:space="preserve">to </w:t>
      </w:r>
      <w:r>
        <w:t xml:space="preserve">defray risk in the following ways: </w:t>
      </w:r>
    </w:p>
    <w:p w:rsidR="005E78A1" w:rsidRPr="005E78A1" w:rsidRDefault="005E78A1" w:rsidP="0053047C">
      <w:pPr>
        <w:pStyle w:val="ListParagraph"/>
        <w:numPr>
          <w:ilvl w:val="0"/>
          <w:numId w:val="41"/>
        </w:numPr>
        <w:ind w:left="1134" w:hanging="567"/>
        <w:rPr>
          <w:rFonts w:ascii="Arial" w:hAnsi="Arial" w:cs="Arial"/>
        </w:rPr>
      </w:pPr>
      <w:r>
        <w:rPr>
          <w:rFonts w:ascii="Arial" w:hAnsi="Arial" w:cs="Arial"/>
        </w:rPr>
        <w:t>Good G</w:t>
      </w:r>
      <w:r w:rsidRPr="005E78A1">
        <w:rPr>
          <w:rFonts w:ascii="Arial" w:hAnsi="Arial" w:cs="Arial"/>
        </w:rPr>
        <w:t>overnance</w:t>
      </w:r>
    </w:p>
    <w:p w:rsidR="005E78A1" w:rsidRPr="00B26093" w:rsidRDefault="005E78A1" w:rsidP="0053047C">
      <w:pPr>
        <w:spacing w:after="240"/>
        <w:ind w:left="567"/>
      </w:pPr>
      <w:r>
        <w:t xml:space="preserve">Provision of </w:t>
      </w:r>
      <w:r w:rsidR="004F21FA">
        <w:t xml:space="preserve">complimentary </w:t>
      </w:r>
      <w:r>
        <w:t xml:space="preserve">tickets </w:t>
      </w:r>
      <w:r w:rsidR="004F21FA">
        <w:t xml:space="preserve">on a discretionary and transparent basis </w:t>
      </w:r>
      <w:r>
        <w:t xml:space="preserve">to the community’s elected representatives and senior council staff provides an opportunity to monitor </w:t>
      </w:r>
      <w:r w:rsidR="00EC450E">
        <w:t>Council’s</w:t>
      </w:r>
      <w:r>
        <w:t xml:space="preserve"> investment in the delivery of arts events and venue management</w:t>
      </w:r>
      <w:r w:rsidRPr="00391684">
        <w:rPr>
          <w:color w:val="FF0000"/>
        </w:rPr>
        <w:t>.</w:t>
      </w:r>
      <w:r w:rsidR="00532B09" w:rsidRPr="00391684">
        <w:rPr>
          <w:color w:val="FF0000"/>
        </w:rPr>
        <w:t xml:space="preserve"> </w:t>
      </w:r>
    </w:p>
    <w:p w:rsidR="005E78A1" w:rsidRPr="005E78A1" w:rsidRDefault="005E78A1" w:rsidP="0053047C">
      <w:pPr>
        <w:pStyle w:val="ListParagraph"/>
        <w:numPr>
          <w:ilvl w:val="0"/>
          <w:numId w:val="41"/>
        </w:numPr>
        <w:ind w:left="1134" w:hanging="567"/>
        <w:rPr>
          <w:rFonts w:ascii="Arial" w:hAnsi="Arial" w:cs="Arial"/>
        </w:rPr>
      </w:pPr>
      <w:r>
        <w:rPr>
          <w:rFonts w:ascii="Arial" w:hAnsi="Arial" w:cs="Arial"/>
        </w:rPr>
        <w:t>Outreach and A</w:t>
      </w:r>
      <w:r w:rsidRPr="005E78A1">
        <w:rPr>
          <w:rFonts w:ascii="Arial" w:hAnsi="Arial" w:cs="Arial"/>
        </w:rPr>
        <w:t>ccessibility</w:t>
      </w:r>
    </w:p>
    <w:p w:rsidR="005E78A1" w:rsidRDefault="004C1F7C" w:rsidP="0053047C">
      <w:pPr>
        <w:spacing w:after="240"/>
        <w:ind w:left="567"/>
      </w:pPr>
      <w:r>
        <w:t xml:space="preserve">Arts </w:t>
      </w:r>
      <w:r w:rsidR="00CE5DE0">
        <w:t xml:space="preserve">venues and </w:t>
      </w:r>
      <w:r>
        <w:t>organisations</w:t>
      </w:r>
      <w:r w:rsidR="00CE5DE0">
        <w:t xml:space="preserve"> across the country,</w:t>
      </w:r>
      <w:r>
        <w:t xml:space="preserve"> from time to time</w:t>
      </w:r>
      <w:r w:rsidR="004F21FA">
        <w:t xml:space="preserve"> at the discretion of delegated </w:t>
      </w:r>
      <w:r w:rsidR="00CE5DE0">
        <w:t>staff</w:t>
      </w:r>
      <w:r w:rsidR="004F21FA">
        <w:t>,</w:t>
      </w:r>
      <w:r>
        <w:t xml:space="preserve"> </w:t>
      </w:r>
      <w:r w:rsidR="005E78A1">
        <w:t xml:space="preserve">provide </w:t>
      </w:r>
      <w:r w:rsidR="004F21FA">
        <w:t xml:space="preserve">complimentary </w:t>
      </w:r>
      <w:r w:rsidR="005E78A1">
        <w:t xml:space="preserve">tickets to </w:t>
      </w:r>
      <w:r>
        <w:t xml:space="preserve">accredited educational institutions and </w:t>
      </w:r>
      <w:r w:rsidR="005E78A1">
        <w:t xml:space="preserve">non-profit organisations </w:t>
      </w:r>
      <w:r>
        <w:t xml:space="preserve">who service constituents </w:t>
      </w:r>
      <w:r w:rsidR="005E78A1">
        <w:t xml:space="preserve">suffering </w:t>
      </w:r>
      <w:r w:rsidR="00FF1DCE">
        <w:t xml:space="preserve">economic </w:t>
      </w:r>
      <w:r>
        <w:t>disadvantage</w:t>
      </w:r>
      <w:r w:rsidR="00FF1DCE">
        <w:t xml:space="preserve"> that prevents them </w:t>
      </w:r>
      <w:r w:rsidR="005C1A64">
        <w:t xml:space="preserve">from </w:t>
      </w:r>
      <w:r w:rsidR="00FF1DCE">
        <w:t>accessing the arts.</w:t>
      </w:r>
    </w:p>
    <w:p w:rsidR="005E78A1" w:rsidRPr="005E78A1" w:rsidRDefault="005E78A1" w:rsidP="0053047C">
      <w:pPr>
        <w:pStyle w:val="ListParagraph"/>
        <w:numPr>
          <w:ilvl w:val="0"/>
          <w:numId w:val="41"/>
        </w:numPr>
        <w:ind w:left="1134" w:hanging="567"/>
        <w:rPr>
          <w:rFonts w:ascii="Arial" w:hAnsi="Arial" w:cs="Arial"/>
        </w:rPr>
      </w:pPr>
      <w:r>
        <w:rPr>
          <w:rFonts w:ascii="Arial" w:hAnsi="Arial" w:cs="Arial"/>
        </w:rPr>
        <w:t>Professional D</w:t>
      </w:r>
      <w:r w:rsidRPr="005E78A1">
        <w:rPr>
          <w:rFonts w:ascii="Arial" w:hAnsi="Arial" w:cs="Arial"/>
        </w:rPr>
        <w:t xml:space="preserve">evelopment and </w:t>
      </w:r>
      <w:r>
        <w:rPr>
          <w:rFonts w:ascii="Arial" w:hAnsi="Arial" w:cs="Arial"/>
        </w:rPr>
        <w:t>T</w:t>
      </w:r>
      <w:r w:rsidRPr="005E78A1">
        <w:rPr>
          <w:rFonts w:ascii="Arial" w:hAnsi="Arial" w:cs="Arial"/>
        </w:rPr>
        <w:t xml:space="preserve">raining </w:t>
      </w:r>
    </w:p>
    <w:p w:rsidR="00CE5DE0" w:rsidRDefault="005E78A1" w:rsidP="0053047C">
      <w:pPr>
        <w:spacing w:after="240"/>
        <w:ind w:left="567"/>
        <w:rPr>
          <w:rFonts w:eastAsiaTheme="minorHAnsi" w:cs="Arial"/>
          <w:szCs w:val="22"/>
          <w:lang w:eastAsia="en-US"/>
        </w:rPr>
      </w:pPr>
      <w:r w:rsidRPr="005E78A1">
        <w:t>Council supports the training and development of staff to deliver high quality customer service</w:t>
      </w:r>
      <w:r w:rsidR="00CE5DE0">
        <w:t>,</w:t>
      </w:r>
      <w:r>
        <w:t xml:space="preserve"> </w:t>
      </w:r>
      <w:r w:rsidR="00CE5DE0">
        <w:t>which</w:t>
      </w:r>
      <w:r>
        <w:t xml:space="preserve"> can only be delivered by knowledgeable staff</w:t>
      </w:r>
      <w:r w:rsidR="00CE5DE0">
        <w:t>.</w:t>
      </w:r>
      <w:r>
        <w:t xml:space="preserve"> </w:t>
      </w:r>
      <w:r w:rsidR="00CE5DE0">
        <w:t xml:space="preserve">It is the </w:t>
      </w:r>
      <w:r w:rsidR="00BF0CCD">
        <w:t xml:space="preserve">widespread </w:t>
      </w:r>
      <w:r w:rsidR="00CE5DE0">
        <w:t xml:space="preserve">practice of performing arts companies and venues in Australia to provide complimentary tickets </w:t>
      </w:r>
      <w:r w:rsidR="00BF0CCD">
        <w:t xml:space="preserve">to staff </w:t>
      </w:r>
      <w:r w:rsidR="00CE5DE0">
        <w:t xml:space="preserve">as part of the on-going training </w:t>
      </w:r>
      <w:r w:rsidR="00BF0CCD">
        <w:t xml:space="preserve">so that they may understand how their roles impact upon the overall patron experience and to learn about theatre content and practice. </w:t>
      </w:r>
      <w:r w:rsidR="002359E1">
        <w:t xml:space="preserve">Understanding the patron experience is </w:t>
      </w:r>
      <w:proofErr w:type="gramStart"/>
      <w:r w:rsidR="002359E1">
        <w:t>key</w:t>
      </w:r>
      <w:proofErr w:type="gramEnd"/>
      <w:r w:rsidR="002359E1">
        <w:t xml:space="preserve"> to service quality and continuous improvement. C</w:t>
      </w:r>
      <w:r w:rsidR="00BF0CCD">
        <w:t>omplimentary tickets are</w:t>
      </w:r>
      <w:r w:rsidR="00CE5DE0">
        <w:t xml:space="preserve"> </w:t>
      </w:r>
      <w:r w:rsidR="00B26093">
        <w:t xml:space="preserve">only </w:t>
      </w:r>
      <w:r w:rsidR="00BF0CCD">
        <w:t xml:space="preserve">provided </w:t>
      </w:r>
      <w:r w:rsidR="002359E1">
        <w:t xml:space="preserve">to Glen Street Theatre staff for training and professional development purposes, or as part of their fundamental roles in managing and marketing the theatre, not </w:t>
      </w:r>
      <w:r w:rsidR="00CE5DE0">
        <w:t>as a benefit</w:t>
      </w:r>
      <w:r w:rsidR="00E37720">
        <w:t>, a gift</w:t>
      </w:r>
      <w:r w:rsidR="00CE5DE0">
        <w:t xml:space="preserve"> or a reward</w:t>
      </w:r>
      <w:r w:rsidR="00A90515">
        <w:t>.</w:t>
      </w:r>
    </w:p>
    <w:p w:rsidR="005E78A1" w:rsidRPr="005E78A1" w:rsidRDefault="005E78A1" w:rsidP="0053047C">
      <w:pPr>
        <w:pStyle w:val="ListParagraph"/>
        <w:numPr>
          <w:ilvl w:val="0"/>
          <w:numId w:val="41"/>
        </w:numPr>
        <w:ind w:left="1134" w:hanging="567"/>
        <w:rPr>
          <w:rFonts w:ascii="Arial" w:hAnsi="Arial" w:cs="Arial"/>
        </w:rPr>
      </w:pPr>
      <w:r>
        <w:rPr>
          <w:rFonts w:ascii="Arial" w:hAnsi="Arial" w:cs="Arial"/>
        </w:rPr>
        <w:t>Maximise Ticket S</w:t>
      </w:r>
      <w:r w:rsidRPr="005E78A1">
        <w:rPr>
          <w:rFonts w:ascii="Arial" w:hAnsi="Arial" w:cs="Arial"/>
        </w:rPr>
        <w:t xml:space="preserve">ales </w:t>
      </w:r>
    </w:p>
    <w:p w:rsidR="004C1F7C" w:rsidRDefault="005E78A1" w:rsidP="0053047C">
      <w:pPr>
        <w:spacing w:after="240"/>
        <w:ind w:left="567"/>
        <w:rPr>
          <w:rFonts w:eastAsiaTheme="minorHAnsi" w:cs="Arial"/>
          <w:szCs w:val="22"/>
          <w:lang w:eastAsia="en-US"/>
        </w:rPr>
      </w:pPr>
      <w:r>
        <w:t>A full and successful opening night drive</w:t>
      </w:r>
      <w:r w:rsidR="00FF1DCE">
        <w:t>s</w:t>
      </w:r>
      <w:r>
        <w:t xml:space="preserve"> </w:t>
      </w:r>
      <w:r w:rsidR="009F3B25">
        <w:t xml:space="preserve">the </w:t>
      </w:r>
      <w:r>
        <w:t>word of mouth, social, broadcast and print media that results in future ticket sales. The identification and invitation of media and high profile arts figures generates publicity for the venue and Council.</w:t>
      </w:r>
      <w:r w:rsidR="00A84119" w:rsidRPr="00A84119">
        <w:t xml:space="preserve"> </w:t>
      </w:r>
      <w:r w:rsidR="00870BCF">
        <w:t xml:space="preserve">The </w:t>
      </w:r>
      <w:r w:rsidR="004F21FA">
        <w:t xml:space="preserve">strategic, discretionary distribution </w:t>
      </w:r>
      <w:r w:rsidR="00870BCF">
        <w:t xml:space="preserve">of complimentary tickets for </w:t>
      </w:r>
      <w:r w:rsidR="00CE5DE0">
        <w:t xml:space="preserve">traditional and </w:t>
      </w:r>
      <w:r w:rsidR="00870BCF">
        <w:t xml:space="preserve">online marketing opportunities that enables the venue to reach new markets is also a successful </w:t>
      </w:r>
      <w:r w:rsidR="00875D1A">
        <w:t xml:space="preserve">and </w:t>
      </w:r>
      <w:r w:rsidR="00870BCF">
        <w:t>widespread practice</w:t>
      </w:r>
      <w:r w:rsidR="00875D1A">
        <w:t xml:space="preserve"> within the industry</w:t>
      </w:r>
      <w:r w:rsidR="00870BCF">
        <w:t>.</w:t>
      </w:r>
    </w:p>
    <w:p w:rsidR="005E78A1" w:rsidRPr="005E78A1" w:rsidRDefault="005E78A1" w:rsidP="0053047C">
      <w:pPr>
        <w:pStyle w:val="ListParagraph"/>
        <w:numPr>
          <w:ilvl w:val="0"/>
          <w:numId w:val="41"/>
        </w:numPr>
        <w:ind w:left="1134" w:hanging="567"/>
        <w:rPr>
          <w:rFonts w:ascii="Arial" w:hAnsi="Arial" w:cs="Arial"/>
        </w:rPr>
      </w:pPr>
      <w:r w:rsidRPr="005E78A1">
        <w:rPr>
          <w:rFonts w:ascii="Arial" w:hAnsi="Arial" w:cs="Arial"/>
        </w:rPr>
        <w:lastRenderedPageBreak/>
        <w:t>Maximise Venue Utilisation</w:t>
      </w:r>
      <w:r w:rsidR="00A84119">
        <w:rPr>
          <w:rFonts w:ascii="Arial" w:hAnsi="Arial" w:cs="Arial"/>
        </w:rPr>
        <w:t xml:space="preserve"> and Revenue Partnerships</w:t>
      </w:r>
    </w:p>
    <w:p w:rsidR="005E78A1" w:rsidRDefault="00EC450E" w:rsidP="0053047C">
      <w:pPr>
        <w:spacing w:after="240"/>
        <w:ind w:left="567"/>
      </w:pPr>
      <w:r>
        <w:t>In order to attract p</w:t>
      </w:r>
      <w:r w:rsidR="00FF1DCE" w:rsidRPr="00EC450E">
        <w:t>otential h</w:t>
      </w:r>
      <w:r w:rsidR="005E78A1" w:rsidRPr="00EC450E">
        <w:t>irers and producers</w:t>
      </w:r>
      <w:r w:rsidR="000203F1">
        <w:t>,</w:t>
      </w:r>
      <w:r w:rsidR="005E78A1" w:rsidRPr="00EC450E">
        <w:t xml:space="preserve"> </w:t>
      </w:r>
      <w:r>
        <w:t>tickets may be provided to demonstrate</w:t>
      </w:r>
      <w:r w:rsidR="005E78A1" w:rsidRPr="00EC450E">
        <w:t xml:space="preserve"> </w:t>
      </w:r>
      <w:r>
        <w:t xml:space="preserve">the quality of </w:t>
      </w:r>
      <w:r w:rsidR="00A33E06">
        <w:t xml:space="preserve">the </w:t>
      </w:r>
      <w:r>
        <w:t xml:space="preserve">venue </w:t>
      </w:r>
      <w:r w:rsidR="00A33E06">
        <w:t xml:space="preserve">in </w:t>
      </w:r>
      <w:r>
        <w:t>operation</w:t>
      </w:r>
      <w:r w:rsidR="005E78A1" w:rsidRPr="00EC450E">
        <w:t xml:space="preserve">. </w:t>
      </w:r>
      <w:r w:rsidRPr="00EC450E">
        <w:t xml:space="preserve">Key to developing </w:t>
      </w:r>
      <w:r>
        <w:t>p</w:t>
      </w:r>
      <w:r w:rsidR="005E78A1" w:rsidRPr="00EC450E">
        <w:t>artnerships with community organisations</w:t>
      </w:r>
      <w:r>
        <w:t>,</w:t>
      </w:r>
      <w:r w:rsidR="005E78A1" w:rsidRPr="00EC450E">
        <w:t xml:space="preserve"> businesses</w:t>
      </w:r>
      <w:r w:rsidR="00A84119" w:rsidRPr="00EC450E">
        <w:t>, and state and federal government</w:t>
      </w:r>
      <w:r w:rsidR="005E78A1" w:rsidRPr="00EC450E">
        <w:t xml:space="preserve"> </w:t>
      </w:r>
      <w:r w:rsidR="00A33E06">
        <w:t>that</w:t>
      </w:r>
      <w:r>
        <w:t xml:space="preserve"> </w:t>
      </w:r>
      <w:r w:rsidR="005E78A1" w:rsidRPr="00EC450E">
        <w:t>maximise activity and minimise expenses</w:t>
      </w:r>
      <w:r>
        <w:t>,</w:t>
      </w:r>
      <w:r w:rsidR="005E78A1" w:rsidRPr="00EC450E">
        <w:t xml:space="preserve"> is an understandi</w:t>
      </w:r>
      <w:r w:rsidR="00723DEC">
        <w:t>ng of alignment and opportunity</w:t>
      </w:r>
      <w:r w:rsidR="00A33E06">
        <w:t>,</w:t>
      </w:r>
      <w:r w:rsidR="005E78A1" w:rsidRPr="00EC450E">
        <w:t xml:space="preserve"> </w:t>
      </w:r>
      <w:r w:rsidR="00A33E06">
        <w:t xml:space="preserve">often </w:t>
      </w:r>
      <w:r>
        <w:t>realised through</w:t>
      </w:r>
      <w:r w:rsidR="005E78A1" w:rsidRPr="00EC450E">
        <w:t xml:space="preserve"> experiencing the theatre</w:t>
      </w:r>
      <w:r>
        <w:t xml:space="preserve"> in action</w:t>
      </w:r>
      <w:r w:rsidR="005E78A1" w:rsidRPr="00EC450E">
        <w:t>.</w:t>
      </w:r>
      <w:r w:rsidR="005E78A1">
        <w:t xml:space="preserve"> </w:t>
      </w:r>
      <w:r w:rsidR="004F21FA">
        <w:t xml:space="preserve">The distribution of complimentary tickets outlined in this policy enables greater participation from those who may not normally pay to attend, but who play key decision-making roles with respect to </w:t>
      </w:r>
      <w:r w:rsidR="0021143E">
        <w:t>a</w:t>
      </w:r>
      <w:r w:rsidR="004F21FA">
        <w:t xml:space="preserve">rts and </w:t>
      </w:r>
      <w:r w:rsidR="0021143E">
        <w:t>c</w:t>
      </w:r>
      <w:r w:rsidR="004F21FA">
        <w:t>ulture.</w:t>
      </w:r>
    </w:p>
    <w:p w:rsidR="0017073F" w:rsidRDefault="0053047C" w:rsidP="008E1A75">
      <w:pPr>
        <w:pStyle w:val="BodyText"/>
        <w:rPr>
          <w:b/>
        </w:rPr>
      </w:pPr>
      <w:r>
        <w:rPr>
          <w:b/>
        </w:rPr>
        <w:t xml:space="preserve">Scope and </w:t>
      </w:r>
      <w:r w:rsidR="00A84119">
        <w:rPr>
          <w:b/>
        </w:rPr>
        <w:t>A</w:t>
      </w:r>
      <w:r w:rsidR="0017073F">
        <w:rPr>
          <w:b/>
        </w:rPr>
        <w:t>pplication</w:t>
      </w:r>
    </w:p>
    <w:p w:rsidR="0053047C" w:rsidRDefault="0053047C" w:rsidP="0053047C">
      <w:pPr>
        <w:pStyle w:val="BodyText"/>
      </w:pPr>
      <w:r>
        <w:t>This policy applies to all complimentary tickets issued by Glen Street Theatre that are not the subject of written agreements with venue hirers, sponsors, government funding bodies or third party providers, undertaken in consideration of the supply of grants, goods or services. It does not cover tickets supplied to rectify a customer service issue.</w:t>
      </w:r>
    </w:p>
    <w:p w:rsidR="00C522C5" w:rsidRDefault="005B7F90" w:rsidP="008E1A75">
      <w:pPr>
        <w:pStyle w:val="BodyText"/>
      </w:pPr>
      <w:r w:rsidRPr="005B7F90">
        <w:t>The Director of Glen Street Theatre</w:t>
      </w:r>
      <w:r>
        <w:t xml:space="preserve"> is responsible</w:t>
      </w:r>
      <w:r w:rsidR="001A4E6C">
        <w:t xml:space="preserve"> </w:t>
      </w:r>
      <w:r>
        <w:t xml:space="preserve">for the approval of all complimentary tickets </w:t>
      </w:r>
      <w:r w:rsidR="00180941">
        <w:t>referred to under this</w:t>
      </w:r>
      <w:r>
        <w:t xml:space="preserve"> policy, </w:t>
      </w:r>
      <w:r w:rsidR="001A4E6C">
        <w:t xml:space="preserve">with oversight by the Executive Manager Community Arts &amp; Culture, </w:t>
      </w:r>
      <w:r>
        <w:t>within the following framework.</w:t>
      </w:r>
    </w:p>
    <w:tbl>
      <w:tblPr>
        <w:tblStyle w:val="TableHorizontal"/>
        <w:tblW w:w="0" w:type="auto"/>
        <w:tblLook w:val="04A0" w:firstRow="1" w:lastRow="0" w:firstColumn="1" w:lastColumn="0" w:noHBand="0" w:noVBand="1"/>
      </w:tblPr>
      <w:tblGrid>
        <w:gridCol w:w="3268"/>
        <w:gridCol w:w="3268"/>
        <w:gridCol w:w="3267"/>
      </w:tblGrid>
      <w:tr w:rsidR="004C1F7C" w:rsidRPr="004C1F7C" w:rsidTr="00E037FB">
        <w:trPr>
          <w:cnfStyle w:val="100000000000" w:firstRow="1" w:lastRow="0" w:firstColumn="0" w:lastColumn="0" w:oddVBand="0" w:evenVBand="0" w:oddHBand="0" w:evenHBand="0" w:firstRowFirstColumn="0" w:firstRowLastColumn="0" w:lastRowFirstColumn="0" w:lastRowLastColumn="0"/>
          <w:tblHeader/>
        </w:trPr>
        <w:tc>
          <w:tcPr>
            <w:tcW w:w="3268" w:type="dxa"/>
            <w:vAlign w:val="bottom"/>
          </w:tcPr>
          <w:p w:rsidR="004C1F7C" w:rsidRPr="004C1F7C" w:rsidRDefault="004C1F7C" w:rsidP="00665453">
            <w:pPr>
              <w:pStyle w:val="BodyText"/>
              <w:spacing w:before="240"/>
              <w:rPr>
                <w:sz w:val="20"/>
                <w:szCs w:val="20"/>
              </w:rPr>
            </w:pPr>
            <w:r w:rsidRPr="004C1F7C">
              <w:rPr>
                <w:sz w:val="20"/>
                <w:szCs w:val="20"/>
              </w:rPr>
              <w:t>Stakeholder</w:t>
            </w:r>
            <w:r w:rsidR="000874D8">
              <w:rPr>
                <w:sz w:val="20"/>
                <w:szCs w:val="20"/>
              </w:rPr>
              <w:t>/Comp Type</w:t>
            </w:r>
          </w:p>
        </w:tc>
        <w:tc>
          <w:tcPr>
            <w:tcW w:w="3268" w:type="dxa"/>
            <w:vAlign w:val="bottom"/>
          </w:tcPr>
          <w:p w:rsidR="004C1F7C" w:rsidRPr="004C1F7C" w:rsidRDefault="004C1F7C" w:rsidP="00665453">
            <w:pPr>
              <w:pStyle w:val="BodyText"/>
              <w:spacing w:before="240"/>
              <w:rPr>
                <w:sz w:val="20"/>
                <w:szCs w:val="20"/>
              </w:rPr>
            </w:pPr>
            <w:r w:rsidRPr="004C1F7C">
              <w:rPr>
                <w:sz w:val="20"/>
                <w:szCs w:val="20"/>
              </w:rPr>
              <w:t>Permitted Use</w:t>
            </w:r>
          </w:p>
        </w:tc>
        <w:tc>
          <w:tcPr>
            <w:tcW w:w="3267" w:type="dxa"/>
            <w:vAlign w:val="bottom"/>
          </w:tcPr>
          <w:p w:rsidR="004C1F7C" w:rsidRPr="004C1F7C" w:rsidRDefault="004C1F7C" w:rsidP="00665453">
            <w:pPr>
              <w:pStyle w:val="BodyText"/>
              <w:spacing w:before="240"/>
              <w:rPr>
                <w:sz w:val="20"/>
                <w:szCs w:val="20"/>
              </w:rPr>
            </w:pPr>
            <w:r w:rsidRPr="004C1F7C">
              <w:rPr>
                <w:sz w:val="20"/>
                <w:szCs w:val="20"/>
              </w:rPr>
              <w:t>Parameters</w:t>
            </w:r>
            <w:r w:rsidR="00FB0008">
              <w:rPr>
                <w:sz w:val="20"/>
                <w:szCs w:val="20"/>
              </w:rPr>
              <w:t>*</w:t>
            </w:r>
          </w:p>
        </w:tc>
      </w:tr>
      <w:tr w:rsidR="004C1F7C" w:rsidRPr="004C1F7C" w:rsidTr="004C1F7C">
        <w:tc>
          <w:tcPr>
            <w:tcW w:w="3268" w:type="dxa"/>
            <w:vAlign w:val="center"/>
          </w:tcPr>
          <w:p w:rsidR="004C1F7C" w:rsidRPr="00FB0008" w:rsidRDefault="004C1F7C" w:rsidP="00665453">
            <w:pPr>
              <w:pStyle w:val="BodyText"/>
              <w:spacing w:before="240"/>
              <w:rPr>
                <w:sz w:val="20"/>
                <w:szCs w:val="20"/>
              </w:rPr>
            </w:pPr>
            <w:r w:rsidRPr="00FB0008">
              <w:rPr>
                <w:sz w:val="20"/>
                <w:szCs w:val="20"/>
              </w:rPr>
              <w:t>Councillors</w:t>
            </w:r>
          </w:p>
        </w:tc>
        <w:tc>
          <w:tcPr>
            <w:tcW w:w="3268" w:type="dxa"/>
            <w:vAlign w:val="center"/>
          </w:tcPr>
          <w:p w:rsidR="004C1F7C" w:rsidRPr="00FB0008" w:rsidRDefault="004C1F7C" w:rsidP="00665453">
            <w:pPr>
              <w:pStyle w:val="BodyText"/>
              <w:spacing w:before="240"/>
              <w:rPr>
                <w:sz w:val="20"/>
                <w:szCs w:val="20"/>
              </w:rPr>
            </w:pPr>
            <w:r w:rsidRPr="00FB0008">
              <w:rPr>
                <w:sz w:val="20"/>
                <w:szCs w:val="20"/>
              </w:rPr>
              <w:t xml:space="preserve">2 </w:t>
            </w:r>
            <w:r w:rsidR="00375DEE" w:rsidRPr="00FB0008">
              <w:rPr>
                <w:sz w:val="20"/>
                <w:szCs w:val="20"/>
              </w:rPr>
              <w:t xml:space="preserve">tickets each, by invitation to </w:t>
            </w:r>
            <w:r w:rsidRPr="00FB0008">
              <w:rPr>
                <w:sz w:val="20"/>
                <w:szCs w:val="20"/>
              </w:rPr>
              <w:t>Opening Nights</w:t>
            </w:r>
          </w:p>
        </w:tc>
        <w:tc>
          <w:tcPr>
            <w:tcW w:w="3267" w:type="dxa"/>
            <w:vAlign w:val="center"/>
          </w:tcPr>
          <w:p w:rsidR="00C522C5" w:rsidRPr="00FB0008" w:rsidRDefault="004C1F7C" w:rsidP="00180941">
            <w:pPr>
              <w:pStyle w:val="BodyText"/>
              <w:spacing w:before="240"/>
              <w:rPr>
                <w:sz w:val="20"/>
                <w:szCs w:val="20"/>
              </w:rPr>
            </w:pPr>
            <w:r w:rsidRPr="00FB0008">
              <w:rPr>
                <w:sz w:val="20"/>
                <w:szCs w:val="20"/>
              </w:rPr>
              <w:t>Non-transferrable</w:t>
            </w:r>
            <w:r w:rsidR="00375DEE" w:rsidRPr="00FB0008">
              <w:rPr>
                <w:sz w:val="20"/>
                <w:szCs w:val="20"/>
              </w:rPr>
              <w:t xml:space="preserve"> to other recipients or dates</w:t>
            </w:r>
            <w:r w:rsidRPr="00FB0008">
              <w:rPr>
                <w:sz w:val="20"/>
                <w:szCs w:val="20"/>
              </w:rPr>
              <w:t xml:space="preserve">. </w:t>
            </w:r>
            <w:r w:rsidR="00180941" w:rsidRPr="00FB0008">
              <w:rPr>
                <w:sz w:val="20"/>
                <w:szCs w:val="20"/>
              </w:rPr>
              <w:t xml:space="preserve">Response to invitation within RSVP date. </w:t>
            </w:r>
            <w:r w:rsidRPr="00FB0008">
              <w:rPr>
                <w:sz w:val="20"/>
                <w:szCs w:val="20"/>
              </w:rPr>
              <w:t xml:space="preserve">Total 9 performances per </w:t>
            </w:r>
            <w:r w:rsidR="00375DEE" w:rsidRPr="00FB0008">
              <w:rPr>
                <w:sz w:val="20"/>
                <w:szCs w:val="20"/>
              </w:rPr>
              <w:t>A</w:t>
            </w:r>
            <w:r w:rsidR="005B7F90" w:rsidRPr="00FB0008">
              <w:rPr>
                <w:sz w:val="20"/>
                <w:szCs w:val="20"/>
              </w:rPr>
              <w:t xml:space="preserve">nnual </w:t>
            </w:r>
            <w:r w:rsidR="00375DEE" w:rsidRPr="00FB0008">
              <w:rPr>
                <w:sz w:val="20"/>
                <w:szCs w:val="20"/>
              </w:rPr>
              <w:t>S</w:t>
            </w:r>
            <w:r w:rsidR="005B7F90" w:rsidRPr="00FB0008">
              <w:rPr>
                <w:sz w:val="20"/>
                <w:szCs w:val="20"/>
              </w:rPr>
              <w:t>eason</w:t>
            </w:r>
            <w:r w:rsidR="00180941" w:rsidRPr="00FB0008">
              <w:rPr>
                <w:sz w:val="20"/>
                <w:szCs w:val="20"/>
              </w:rPr>
              <w:t xml:space="preserve">. </w:t>
            </w:r>
          </w:p>
        </w:tc>
      </w:tr>
      <w:tr w:rsidR="004C1F7C" w:rsidRPr="004C1F7C" w:rsidTr="004C1F7C">
        <w:tc>
          <w:tcPr>
            <w:tcW w:w="3268" w:type="dxa"/>
            <w:vAlign w:val="center"/>
          </w:tcPr>
          <w:p w:rsidR="004C1F7C" w:rsidRPr="00FB0008" w:rsidRDefault="004C1F7C" w:rsidP="00665453">
            <w:pPr>
              <w:pStyle w:val="BodyText"/>
              <w:spacing w:before="240"/>
              <w:rPr>
                <w:sz w:val="20"/>
                <w:szCs w:val="20"/>
              </w:rPr>
            </w:pPr>
            <w:r w:rsidRPr="00FB0008">
              <w:rPr>
                <w:sz w:val="20"/>
                <w:szCs w:val="20"/>
              </w:rPr>
              <w:t>Chief Executive Team; Executive Manager, Community Arts &amp; Culture</w:t>
            </w:r>
          </w:p>
        </w:tc>
        <w:tc>
          <w:tcPr>
            <w:tcW w:w="3268" w:type="dxa"/>
            <w:vAlign w:val="center"/>
          </w:tcPr>
          <w:p w:rsidR="004C1F7C" w:rsidRPr="00FB0008" w:rsidRDefault="004C1F7C" w:rsidP="00665453">
            <w:pPr>
              <w:pStyle w:val="BodyText"/>
              <w:spacing w:before="240"/>
              <w:rPr>
                <w:sz w:val="20"/>
                <w:szCs w:val="20"/>
              </w:rPr>
            </w:pPr>
            <w:r w:rsidRPr="00FB0008">
              <w:rPr>
                <w:sz w:val="20"/>
                <w:szCs w:val="20"/>
              </w:rPr>
              <w:t>2 tickets each, by invitation to Opening Nights</w:t>
            </w:r>
          </w:p>
        </w:tc>
        <w:tc>
          <w:tcPr>
            <w:tcW w:w="3267" w:type="dxa"/>
            <w:vAlign w:val="center"/>
          </w:tcPr>
          <w:p w:rsidR="004C1F7C" w:rsidRPr="00FB0008" w:rsidRDefault="00375DEE" w:rsidP="00665453">
            <w:pPr>
              <w:pStyle w:val="BodyText"/>
              <w:spacing w:before="240"/>
              <w:rPr>
                <w:sz w:val="20"/>
                <w:szCs w:val="20"/>
              </w:rPr>
            </w:pPr>
            <w:r w:rsidRPr="00FB0008">
              <w:rPr>
                <w:sz w:val="20"/>
                <w:szCs w:val="20"/>
              </w:rPr>
              <w:t>Non-transferrable to other recipients or dates</w:t>
            </w:r>
            <w:r w:rsidR="004C1F7C" w:rsidRPr="00FB0008">
              <w:rPr>
                <w:sz w:val="20"/>
                <w:szCs w:val="20"/>
              </w:rPr>
              <w:t xml:space="preserve">. </w:t>
            </w:r>
            <w:r w:rsidR="00180941" w:rsidRPr="00FB0008">
              <w:rPr>
                <w:sz w:val="20"/>
                <w:szCs w:val="20"/>
              </w:rPr>
              <w:t xml:space="preserve">Response to invitation within RSVP date. </w:t>
            </w:r>
            <w:r w:rsidR="004C1F7C" w:rsidRPr="00FB0008">
              <w:rPr>
                <w:sz w:val="20"/>
                <w:szCs w:val="20"/>
              </w:rPr>
              <w:t xml:space="preserve">Total 9 performances per </w:t>
            </w:r>
            <w:r w:rsidR="00180941" w:rsidRPr="00FB0008">
              <w:rPr>
                <w:sz w:val="20"/>
                <w:szCs w:val="20"/>
              </w:rPr>
              <w:t>Annual Season.</w:t>
            </w:r>
          </w:p>
        </w:tc>
      </w:tr>
      <w:tr w:rsidR="004C1F7C" w:rsidRPr="004C1F7C" w:rsidTr="004C1F7C">
        <w:tc>
          <w:tcPr>
            <w:tcW w:w="3268" w:type="dxa"/>
            <w:vAlign w:val="center"/>
          </w:tcPr>
          <w:p w:rsidR="004C1F7C" w:rsidRPr="00FB0008" w:rsidRDefault="004C1F7C" w:rsidP="00665453">
            <w:pPr>
              <w:pStyle w:val="BodyText"/>
              <w:spacing w:before="240"/>
              <w:rPr>
                <w:sz w:val="20"/>
                <w:szCs w:val="20"/>
              </w:rPr>
            </w:pPr>
            <w:r w:rsidRPr="00FB0008">
              <w:rPr>
                <w:sz w:val="20"/>
                <w:szCs w:val="20"/>
              </w:rPr>
              <w:t xml:space="preserve">Media </w:t>
            </w:r>
          </w:p>
        </w:tc>
        <w:tc>
          <w:tcPr>
            <w:tcW w:w="3268" w:type="dxa"/>
            <w:vAlign w:val="center"/>
          </w:tcPr>
          <w:p w:rsidR="004C1F7C" w:rsidRPr="00FB0008" w:rsidRDefault="004C1F7C" w:rsidP="00665453">
            <w:pPr>
              <w:pStyle w:val="BodyText"/>
              <w:spacing w:before="240"/>
              <w:rPr>
                <w:sz w:val="20"/>
                <w:szCs w:val="20"/>
              </w:rPr>
            </w:pPr>
            <w:r w:rsidRPr="00FB0008">
              <w:rPr>
                <w:sz w:val="20"/>
                <w:szCs w:val="20"/>
              </w:rPr>
              <w:t>2 tickets each, by invitation to Opening Nights</w:t>
            </w:r>
          </w:p>
        </w:tc>
        <w:tc>
          <w:tcPr>
            <w:tcW w:w="3267" w:type="dxa"/>
            <w:vAlign w:val="center"/>
          </w:tcPr>
          <w:p w:rsidR="004C1F7C" w:rsidRPr="00FB0008" w:rsidRDefault="004C1F7C" w:rsidP="00665453">
            <w:pPr>
              <w:pStyle w:val="BodyText"/>
              <w:spacing w:before="240"/>
              <w:rPr>
                <w:sz w:val="20"/>
                <w:szCs w:val="20"/>
              </w:rPr>
            </w:pPr>
            <w:r w:rsidRPr="00FB0008">
              <w:rPr>
                <w:sz w:val="20"/>
                <w:szCs w:val="20"/>
              </w:rPr>
              <w:t>Non-transferrable</w:t>
            </w:r>
            <w:r w:rsidR="00375DEE" w:rsidRPr="00FB0008">
              <w:rPr>
                <w:sz w:val="20"/>
                <w:szCs w:val="20"/>
              </w:rPr>
              <w:t xml:space="preserve"> to other dates</w:t>
            </w:r>
            <w:r w:rsidRPr="00FB0008">
              <w:rPr>
                <w:sz w:val="20"/>
                <w:szCs w:val="20"/>
              </w:rPr>
              <w:t xml:space="preserve">. Current media only. All Opening Nights permitted. </w:t>
            </w:r>
            <w:r w:rsidR="0021143E" w:rsidRPr="00FB0008">
              <w:rPr>
                <w:sz w:val="20"/>
                <w:szCs w:val="20"/>
              </w:rPr>
              <w:t xml:space="preserve">– </w:t>
            </w:r>
          </w:p>
        </w:tc>
      </w:tr>
      <w:tr w:rsidR="004C1F7C" w:rsidRPr="004C1F7C" w:rsidTr="004C1F7C">
        <w:tc>
          <w:tcPr>
            <w:tcW w:w="3268" w:type="dxa"/>
            <w:vAlign w:val="center"/>
          </w:tcPr>
          <w:p w:rsidR="004C1F7C" w:rsidRPr="00FB0008" w:rsidRDefault="004C1F7C" w:rsidP="00665453">
            <w:pPr>
              <w:pStyle w:val="BodyText"/>
              <w:spacing w:before="240"/>
              <w:rPr>
                <w:sz w:val="20"/>
                <w:szCs w:val="20"/>
              </w:rPr>
            </w:pPr>
            <w:r w:rsidRPr="00FB0008">
              <w:rPr>
                <w:sz w:val="20"/>
                <w:szCs w:val="20"/>
              </w:rPr>
              <w:t xml:space="preserve">Opening Night VIPs </w:t>
            </w:r>
            <w:r w:rsidR="005C1A64" w:rsidRPr="00FB0008">
              <w:rPr>
                <w:sz w:val="20"/>
                <w:szCs w:val="20"/>
              </w:rPr>
              <w:t>e.g.</w:t>
            </w:r>
            <w:r w:rsidRPr="00FB0008">
              <w:rPr>
                <w:sz w:val="20"/>
                <w:szCs w:val="20"/>
              </w:rPr>
              <w:t xml:space="preserve"> state and federal government representatives, arts industry leaders </w:t>
            </w:r>
          </w:p>
        </w:tc>
        <w:tc>
          <w:tcPr>
            <w:tcW w:w="3268" w:type="dxa"/>
            <w:vAlign w:val="center"/>
          </w:tcPr>
          <w:p w:rsidR="004C1F7C" w:rsidRPr="00FB0008" w:rsidRDefault="004C1F7C" w:rsidP="00665453">
            <w:pPr>
              <w:pStyle w:val="BodyText"/>
              <w:spacing w:before="240"/>
              <w:rPr>
                <w:sz w:val="20"/>
                <w:szCs w:val="20"/>
              </w:rPr>
            </w:pPr>
            <w:r w:rsidRPr="00FB0008">
              <w:rPr>
                <w:sz w:val="20"/>
                <w:szCs w:val="20"/>
              </w:rPr>
              <w:t>2 tickets each, by invitation to Opening Nights</w:t>
            </w:r>
          </w:p>
        </w:tc>
        <w:tc>
          <w:tcPr>
            <w:tcW w:w="3267" w:type="dxa"/>
            <w:vAlign w:val="center"/>
          </w:tcPr>
          <w:p w:rsidR="004C1F7C" w:rsidRPr="00FB0008" w:rsidRDefault="004C1F7C" w:rsidP="001C6C6D">
            <w:pPr>
              <w:pStyle w:val="BodyText"/>
              <w:spacing w:before="240"/>
              <w:rPr>
                <w:sz w:val="20"/>
                <w:szCs w:val="20"/>
              </w:rPr>
            </w:pPr>
            <w:r w:rsidRPr="00FB0008">
              <w:rPr>
                <w:sz w:val="20"/>
                <w:szCs w:val="20"/>
              </w:rPr>
              <w:t xml:space="preserve">Rationale for contribution to business objectives for each invitee to be documented </w:t>
            </w:r>
            <w:r w:rsidR="001C6C6D">
              <w:rPr>
                <w:sz w:val="20"/>
                <w:szCs w:val="20"/>
              </w:rPr>
              <w:t xml:space="preserve">and </w:t>
            </w:r>
            <w:r w:rsidRPr="00FB0008">
              <w:rPr>
                <w:sz w:val="20"/>
                <w:szCs w:val="20"/>
              </w:rPr>
              <w:t>approved by Director</w:t>
            </w:r>
            <w:r w:rsidR="000874D8" w:rsidRPr="00FB0008">
              <w:rPr>
                <w:sz w:val="20"/>
                <w:szCs w:val="20"/>
              </w:rPr>
              <w:t>. Transferrable dependent upon attendance rationale.</w:t>
            </w:r>
          </w:p>
        </w:tc>
      </w:tr>
      <w:tr w:rsidR="004C1F7C" w:rsidRPr="004C1F7C" w:rsidTr="004C1F7C">
        <w:tc>
          <w:tcPr>
            <w:tcW w:w="3268" w:type="dxa"/>
            <w:vAlign w:val="center"/>
          </w:tcPr>
          <w:p w:rsidR="004C1F7C" w:rsidRPr="00FB0008" w:rsidRDefault="004C1F7C" w:rsidP="00665453">
            <w:pPr>
              <w:pStyle w:val="BodyText"/>
              <w:spacing w:before="240"/>
              <w:rPr>
                <w:sz w:val="20"/>
                <w:szCs w:val="20"/>
              </w:rPr>
            </w:pPr>
            <w:r w:rsidRPr="00FB0008">
              <w:rPr>
                <w:sz w:val="20"/>
                <w:szCs w:val="20"/>
              </w:rPr>
              <w:t>Educational and non-profit organisations servicing those suffering economic disadvantage.</w:t>
            </w:r>
          </w:p>
        </w:tc>
        <w:tc>
          <w:tcPr>
            <w:tcW w:w="3268" w:type="dxa"/>
            <w:vAlign w:val="center"/>
          </w:tcPr>
          <w:p w:rsidR="004C1F7C" w:rsidRPr="00FB0008" w:rsidRDefault="004C1F7C" w:rsidP="00883646">
            <w:pPr>
              <w:pStyle w:val="BodyText"/>
              <w:spacing w:before="240"/>
              <w:rPr>
                <w:color w:val="FF0000"/>
                <w:sz w:val="20"/>
                <w:szCs w:val="20"/>
              </w:rPr>
            </w:pPr>
            <w:r w:rsidRPr="00FB0008">
              <w:rPr>
                <w:sz w:val="20"/>
                <w:szCs w:val="20"/>
              </w:rPr>
              <w:t xml:space="preserve">Pre-determined number of tickets for a specific performance, where sales are less than </w:t>
            </w:r>
            <w:r w:rsidR="00FA4955" w:rsidRPr="00FB0008">
              <w:rPr>
                <w:sz w:val="20"/>
                <w:szCs w:val="20"/>
              </w:rPr>
              <w:t>5</w:t>
            </w:r>
            <w:r w:rsidR="005C1A64" w:rsidRPr="00FB0008">
              <w:rPr>
                <w:sz w:val="20"/>
                <w:szCs w:val="20"/>
              </w:rPr>
              <w:t>0</w:t>
            </w:r>
            <w:r w:rsidRPr="00FB0008">
              <w:rPr>
                <w:sz w:val="20"/>
                <w:szCs w:val="20"/>
              </w:rPr>
              <w:t>% of capacity.</w:t>
            </w:r>
            <w:r w:rsidR="00BD1839" w:rsidRPr="00FB0008">
              <w:rPr>
                <w:sz w:val="20"/>
                <w:szCs w:val="20"/>
              </w:rPr>
              <w:t xml:space="preserve"> </w:t>
            </w:r>
          </w:p>
        </w:tc>
        <w:tc>
          <w:tcPr>
            <w:tcW w:w="3267" w:type="dxa"/>
            <w:vAlign w:val="center"/>
          </w:tcPr>
          <w:p w:rsidR="004C1F7C" w:rsidRDefault="004C1F7C" w:rsidP="00665453">
            <w:pPr>
              <w:pStyle w:val="BodyText"/>
              <w:spacing w:before="240"/>
              <w:rPr>
                <w:sz w:val="20"/>
                <w:szCs w:val="20"/>
              </w:rPr>
            </w:pPr>
            <w:r w:rsidRPr="00FB0008">
              <w:rPr>
                <w:sz w:val="20"/>
                <w:szCs w:val="20"/>
              </w:rPr>
              <w:t>Non-transferrable. Number of tickets determined by Director.</w:t>
            </w:r>
            <w:r w:rsidR="005C1A64" w:rsidRPr="00FB0008">
              <w:rPr>
                <w:sz w:val="20"/>
                <w:szCs w:val="20"/>
              </w:rPr>
              <w:t xml:space="preserve"> Recipients jointly determined by the Director and the relevant Council business unit for the target market.</w:t>
            </w:r>
          </w:p>
          <w:p w:rsidR="00060048" w:rsidRPr="00FB0008" w:rsidRDefault="00060048" w:rsidP="00665453">
            <w:pPr>
              <w:pStyle w:val="BodyText"/>
              <w:spacing w:before="240"/>
              <w:rPr>
                <w:sz w:val="20"/>
                <w:szCs w:val="20"/>
              </w:rPr>
            </w:pPr>
          </w:p>
        </w:tc>
      </w:tr>
      <w:tr w:rsidR="000874D8" w:rsidRPr="004C1F7C" w:rsidTr="004C1F7C">
        <w:tc>
          <w:tcPr>
            <w:tcW w:w="3268" w:type="dxa"/>
            <w:vAlign w:val="center"/>
          </w:tcPr>
          <w:p w:rsidR="000874D8" w:rsidRPr="00FB0008" w:rsidRDefault="000874D8" w:rsidP="00665453">
            <w:pPr>
              <w:pStyle w:val="BodyText"/>
              <w:spacing w:before="240"/>
              <w:rPr>
                <w:sz w:val="20"/>
                <w:szCs w:val="20"/>
              </w:rPr>
            </w:pPr>
            <w:r w:rsidRPr="00FB0008">
              <w:rPr>
                <w:sz w:val="20"/>
                <w:szCs w:val="20"/>
              </w:rPr>
              <w:lastRenderedPageBreak/>
              <w:t>Charity/donation requests from LGA</w:t>
            </w:r>
          </w:p>
        </w:tc>
        <w:tc>
          <w:tcPr>
            <w:tcW w:w="3268" w:type="dxa"/>
            <w:vAlign w:val="center"/>
          </w:tcPr>
          <w:p w:rsidR="000874D8" w:rsidRPr="00FB0008" w:rsidRDefault="000874D8" w:rsidP="00A90515">
            <w:pPr>
              <w:pStyle w:val="BodyText"/>
              <w:spacing w:before="240"/>
              <w:rPr>
                <w:sz w:val="20"/>
                <w:szCs w:val="20"/>
              </w:rPr>
            </w:pPr>
            <w:r w:rsidRPr="00FB0008">
              <w:rPr>
                <w:sz w:val="20"/>
                <w:szCs w:val="20"/>
              </w:rPr>
              <w:t>2 tickets for registered charities for specific performance</w:t>
            </w:r>
            <w:r w:rsidR="005C1A64" w:rsidRPr="00FB0008">
              <w:rPr>
                <w:sz w:val="20"/>
                <w:szCs w:val="20"/>
              </w:rPr>
              <w:t>s</w:t>
            </w:r>
            <w:r w:rsidRPr="00FB0008">
              <w:rPr>
                <w:sz w:val="20"/>
                <w:szCs w:val="20"/>
              </w:rPr>
              <w:t xml:space="preserve"> where sales are less than </w:t>
            </w:r>
            <w:r w:rsidR="00FA4955" w:rsidRPr="00FB0008">
              <w:rPr>
                <w:sz w:val="20"/>
                <w:szCs w:val="20"/>
              </w:rPr>
              <w:t>5</w:t>
            </w:r>
            <w:r w:rsidRPr="00FB0008">
              <w:rPr>
                <w:sz w:val="20"/>
                <w:szCs w:val="20"/>
              </w:rPr>
              <w:t>0% of capacity.</w:t>
            </w:r>
          </w:p>
        </w:tc>
        <w:tc>
          <w:tcPr>
            <w:tcW w:w="3267" w:type="dxa"/>
            <w:vAlign w:val="center"/>
          </w:tcPr>
          <w:p w:rsidR="00C522C5" w:rsidRPr="00FB0008" w:rsidRDefault="00A90515" w:rsidP="00A90515">
            <w:pPr>
              <w:pStyle w:val="BodyText"/>
              <w:spacing w:before="240"/>
              <w:rPr>
                <w:sz w:val="20"/>
                <w:szCs w:val="20"/>
              </w:rPr>
            </w:pPr>
            <w:r w:rsidRPr="00FB0008">
              <w:rPr>
                <w:sz w:val="20"/>
                <w:szCs w:val="20"/>
              </w:rPr>
              <w:t>T</w:t>
            </w:r>
            <w:r w:rsidR="000874D8" w:rsidRPr="00FB0008">
              <w:rPr>
                <w:sz w:val="20"/>
                <w:szCs w:val="20"/>
              </w:rPr>
              <w:t>ransferrable</w:t>
            </w:r>
            <w:r w:rsidRPr="00FB0008">
              <w:rPr>
                <w:sz w:val="20"/>
                <w:szCs w:val="20"/>
              </w:rPr>
              <w:t xml:space="preserve"> to other performances where sales are less than 50% of capacity.</w:t>
            </w:r>
          </w:p>
        </w:tc>
      </w:tr>
      <w:tr w:rsidR="004C1F7C" w:rsidRPr="004C1F7C" w:rsidTr="004C1F7C">
        <w:tc>
          <w:tcPr>
            <w:tcW w:w="3268" w:type="dxa"/>
            <w:vAlign w:val="center"/>
          </w:tcPr>
          <w:p w:rsidR="004C1F7C" w:rsidRPr="00FB0008" w:rsidRDefault="004C1F7C" w:rsidP="009F3B25">
            <w:pPr>
              <w:pStyle w:val="BodyText"/>
              <w:spacing w:before="240"/>
              <w:rPr>
                <w:color w:val="FF0000"/>
                <w:sz w:val="20"/>
                <w:szCs w:val="20"/>
              </w:rPr>
            </w:pPr>
            <w:r w:rsidRPr="00FB0008">
              <w:rPr>
                <w:sz w:val="20"/>
                <w:szCs w:val="20"/>
              </w:rPr>
              <w:t>Glen Street Theatre permanent staff</w:t>
            </w:r>
            <w:r w:rsidR="000970CF" w:rsidRPr="00FB0008">
              <w:rPr>
                <w:sz w:val="20"/>
                <w:szCs w:val="20"/>
              </w:rPr>
              <w:t xml:space="preserve"> </w:t>
            </w:r>
            <w:r w:rsidR="00E95DE3" w:rsidRPr="00FB0008">
              <w:rPr>
                <w:sz w:val="20"/>
                <w:szCs w:val="20"/>
              </w:rPr>
              <w:t>(for training</w:t>
            </w:r>
            <w:r w:rsidR="00FB0008" w:rsidRPr="00FB0008">
              <w:rPr>
                <w:sz w:val="20"/>
                <w:szCs w:val="20"/>
              </w:rPr>
              <w:t xml:space="preserve"> purposes</w:t>
            </w:r>
            <w:r w:rsidR="00E95DE3" w:rsidRPr="00FB0008">
              <w:rPr>
                <w:sz w:val="20"/>
                <w:szCs w:val="20"/>
              </w:rPr>
              <w:t>, not when attending as part of position requirements).</w:t>
            </w:r>
          </w:p>
        </w:tc>
        <w:tc>
          <w:tcPr>
            <w:tcW w:w="3268" w:type="dxa"/>
            <w:vAlign w:val="center"/>
          </w:tcPr>
          <w:p w:rsidR="004C1F7C" w:rsidRPr="00FB0008" w:rsidRDefault="004C1F7C" w:rsidP="00F36288">
            <w:pPr>
              <w:pStyle w:val="BodyText"/>
              <w:spacing w:before="240"/>
              <w:rPr>
                <w:color w:val="FF0000"/>
                <w:sz w:val="20"/>
                <w:szCs w:val="20"/>
              </w:rPr>
            </w:pPr>
            <w:r w:rsidRPr="00FB0008">
              <w:rPr>
                <w:sz w:val="20"/>
                <w:szCs w:val="20"/>
              </w:rPr>
              <w:t xml:space="preserve">1 ticket </w:t>
            </w:r>
            <w:r w:rsidR="009F3B25" w:rsidRPr="00FB0008">
              <w:rPr>
                <w:sz w:val="20"/>
                <w:szCs w:val="20"/>
              </w:rPr>
              <w:t>per show</w:t>
            </w:r>
            <w:r w:rsidR="00BD1839" w:rsidRPr="00FB0008">
              <w:rPr>
                <w:sz w:val="20"/>
                <w:szCs w:val="20"/>
              </w:rPr>
              <w:t xml:space="preserve"> </w:t>
            </w:r>
            <w:r w:rsidR="00F36288" w:rsidRPr="00FB0008">
              <w:rPr>
                <w:sz w:val="20"/>
                <w:szCs w:val="20"/>
              </w:rPr>
              <w:t>to any performance.</w:t>
            </w:r>
          </w:p>
        </w:tc>
        <w:tc>
          <w:tcPr>
            <w:tcW w:w="3267" w:type="dxa"/>
            <w:vAlign w:val="center"/>
          </w:tcPr>
          <w:p w:rsidR="004C1F7C" w:rsidRPr="00FB0008" w:rsidRDefault="00E95DE3" w:rsidP="00F36288">
            <w:pPr>
              <w:pStyle w:val="BodyText"/>
              <w:spacing w:before="240"/>
              <w:rPr>
                <w:sz w:val="20"/>
                <w:szCs w:val="20"/>
              </w:rPr>
            </w:pPr>
            <w:r w:rsidRPr="00FB0008">
              <w:rPr>
                <w:sz w:val="20"/>
                <w:szCs w:val="20"/>
              </w:rPr>
              <w:t xml:space="preserve">Not </w:t>
            </w:r>
            <w:r w:rsidR="00F36288" w:rsidRPr="00FB0008">
              <w:rPr>
                <w:sz w:val="20"/>
                <w:szCs w:val="20"/>
              </w:rPr>
              <w:t>t</w:t>
            </w:r>
            <w:r w:rsidR="004C1F7C" w:rsidRPr="00FB0008">
              <w:rPr>
                <w:sz w:val="20"/>
                <w:szCs w:val="20"/>
              </w:rPr>
              <w:t xml:space="preserve">ransferrable to </w:t>
            </w:r>
            <w:r w:rsidR="00FB0008">
              <w:rPr>
                <w:sz w:val="20"/>
                <w:szCs w:val="20"/>
              </w:rPr>
              <w:t>other recipients</w:t>
            </w:r>
            <w:r w:rsidRPr="00FB0008">
              <w:rPr>
                <w:sz w:val="20"/>
                <w:szCs w:val="20"/>
              </w:rPr>
              <w:t xml:space="preserve">. </w:t>
            </w:r>
            <w:r w:rsidR="004C1F7C" w:rsidRPr="00FB0008">
              <w:rPr>
                <w:sz w:val="20"/>
                <w:szCs w:val="20"/>
              </w:rPr>
              <w:t xml:space="preserve">Total 9 performances per </w:t>
            </w:r>
            <w:r w:rsidR="00F36288" w:rsidRPr="00FB0008">
              <w:rPr>
                <w:sz w:val="20"/>
                <w:szCs w:val="20"/>
              </w:rPr>
              <w:t>annual season</w:t>
            </w:r>
            <w:r w:rsidR="00FB0008" w:rsidRPr="00FB0008">
              <w:rPr>
                <w:sz w:val="20"/>
                <w:szCs w:val="20"/>
              </w:rPr>
              <w:t>.</w:t>
            </w:r>
          </w:p>
          <w:p w:rsidR="00FB0008" w:rsidRPr="00FB0008" w:rsidRDefault="00FB0008" w:rsidP="00F36288">
            <w:pPr>
              <w:pStyle w:val="BodyText"/>
              <w:spacing w:before="240"/>
              <w:rPr>
                <w:sz w:val="20"/>
                <w:szCs w:val="20"/>
              </w:rPr>
            </w:pPr>
            <w:r w:rsidRPr="00FB0008">
              <w:rPr>
                <w:sz w:val="20"/>
                <w:szCs w:val="20"/>
              </w:rPr>
              <w:t>May be required to vacate seat for paying or VIP patrons</w:t>
            </w:r>
          </w:p>
        </w:tc>
      </w:tr>
      <w:tr w:rsidR="004C1F7C" w:rsidRPr="004C1F7C" w:rsidTr="004C1F7C">
        <w:tc>
          <w:tcPr>
            <w:tcW w:w="3268" w:type="dxa"/>
            <w:vAlign w:val="center"/>
          </w:tcPr>
          <w:p w:rsidR="00BD1839" w:rsidRPr="00FB0008" w:rsidRDefault="004C1F7C" w:rsidP="00FB0008">
            <w:pPr>
              <w:pStyle w:val="BodyText"/>
              <w:spacing w:before="240"/>
              <w:rPr>
                <w:color w:val="FF0000"/>
                <w:sz w:val="20"/>
                <w:szCs w:val="20"/>
              </w:rPr>
            </w:pPr>
            <w:r w:rsidRPr="00FB0008">
              <w:rPr>
                <w:sz w:val="20"/>
                <w:szCs w:val="20"/>
              </w:rPr>
              <w:t>Glen Street Theatre casual staff</w:t>
            </w:r>
            <w:r w:rsidR="00FB0008" w:rsidRPr="00FB0008">
              <w:rPr>
                <w:sz w:val="20"/>
                <w:szCs w:val="20"/>
              </w:rPr>
              <w:t xml:space="preserve"> (for training purposes, not when attending as part of position requirements)</w:t>
            </w:r>
          </w:p>
        </w:tc>
        <w:tc>
          <w:tcPr>
            <w:tcW w:w="3268" w:type="dxa"/>
            <w:vAlign w:val="center"/>
          </w:tcPr>
          <w:p w:rsidR="000970CF" w:rsidRPr="00FB0008" w:rsidRDefault="00FB0008" w:rsidP="00FB0008">
            <w:pPr>
              <w:pStyle w:val="BodyText"/>
              <w:spacing w:before="240"/>
              <w:rPr>
                <w:sz w:val="20"/>
                <w:szCs w:val="20"/>
              </w:rPr>
            </w:pPr>
            <w:r w:rsidRPr="00FB0008">
              <w:rPr>
                <w:sz w:val="20"/>
                <w:szCs w:val="20"/>
              </w:rPr>
              <w:t>1 ticket per show to any performance.</w:t>
            </w:r>
          </w:p>
        </w:tc>
        <w:tc>
          <w:tcPr>
            <w:tcW w:w="3267" w:type="dxa"/>
            <w:vAlign w:val="center"/>
          </w:tcPr>
          <w:p w:rsidR="004C1F7C" w:rsidRPr="00FB0008" w:rsidRDefault="00FB0008" w:rsidP="00665453">
            <w:pPr>
              <w:pStyle w:val="BodyText"/>
              <w:spacing w:before="240"/>
              <w:rPr>
                <w:sz w:val="20"/>
                <w:szCs w:val="20"/>
              </w:rPr>
            </w:pPr>
            <w:r w:rsidRPr="00FB0008">
              <w:rPr>
                <w:sz w:val="20"/>
                <w:szCs w:val="20"/>
              </w:rPr>
              <w:t xml:space="preserve">Not transferrable to </w:t>
            </w:r>
            <w:r>
              <w:rPr>
                <w:sz w:val="20"/>
                <w:szCs w:val="20"/>
              </w:rPr>
              <w:t>other recipients.</w:t>
            </w:r>
            <w:r w:rsidRPr="00FB0008">
              <w:rPr>
                <w:sz w:val="20"/>
                <w:szCs w:val="20"/>
              </w:rPr>
              <w:t xml:space="preserve"> </w:t>
            </w:r>
            <w:r w:rsidR="004C1F7C" w:rsidRPr="00FB0008">
              <w:rPr>
                <w:sz w:val="20"/>
                <w:szCs w:val="20"/>
              </w:rPr>
              <w:t xml:space="preserve">Employee must have worked </w:t>
            </w:r>
            <w:r w:rsidR="00A90515" w:rsidRPr="00FB0008">
              <w:rPr>
                <w:sz w:val="20"/>
                <w:szCs w:val="20"/>
              </w:rPr>
              <w:t xml:space="preserve">a shift </w:t>
            </w:r>
            <w:r w:rsidR="004C1F7C" w:rsidRPr="00FB0008">
              <w:rPr>
                <w:sz w:val="20"/>
                <w:szCs w:val="20"/>
              </w:rPr>
              <w:t xml:space="preserve">in the previous 4 operating weeks. Total 5 performances per </w:t>
            </w:r>
            <w:r w:rsidR="00A90515" w:rsidRPr="00FB0008">
              <w:rPr>
                <w:sz w:val="20"/>
                <w:szCs w:val="20"/>
              </w:rPr>
              <w:t>annual season.</w:t>
            </w:r>
          </w:p>
          <w:p w:rsidR="005B7F90" w:rsidRPr="00FB0008" w:rsidRDefault="005B7F90" w:rsidP="00883646">
            <w:pPr>
              <w:pStyle w:val="BodyText"/>
              <w:spacing w:before="240"/>
              <w:rPr>
                <w:sz w:val="20"/>
                <w:szCs w:val="20"/>
              </w:rPr>
            </w:pPr>
            <w:r w:rsidRPr="00FB0008">
              <w:rPr>
                <w:sz w:val="20"/>
                <w:szCs w:val="20"/>
              </w:rPr>
              <w:t xml:space="preserve">May be required to </w:t>
            </w:r>
            <w:r w:rsidR="00A90515" w:rsidRPr="00FB0008">
              <w:rPr>
                <w:sz w:val="20"/>
                <w:szCs w:val="20"/>
              </w:rPr>
              <w:t>vacate</w:t>
            </w:r>
            <w:r w:rsidRPr="00FB0008">
              <w:rPr>
                <w:sz w:val="20"/>
                <w:szCs w:val="20"/>
              </w:rPr>
              <w:t xml:space="preserve"> seat</w:t>
            </w:r>
            <w:r w:rsidR="00A90515" w:rsidRPr="00FB0008">
              <w:rPr>
                <w:sz w:val="20"/>
                <w:szCs w:val="20"/>
              </w:rPr>
              <w:t xml:space="preserve"> </w:t>
            </w:r>
            <w:r w:rsidR="00883646" w:rsidRPr="00FB0008">
              <w:rPr>
                <w:sz w:val="20"/>
                <w:szCs w:val="20"/>
              </w:rPr>
              <w:t xml:space="preserve">for paying or VIP patrons </w:t>
            </w:r>
          </w:p>
        </w:tc>
      </w:tr>
      <w:tr w:rsidR="004C1F7C" w:rsidRPr="004C1F7C" w:rsidTr="004C1F7C">
        <w:tc>
          <w:tcPr>
            <w:tcW w:w="3268" w:type="dxa"/>
            <w:vAlign w:val="center"/>
          </w:tcPr>
          <w:p w:rsidR="004C1F7C" w:rsidRPr="00FB0008" w:rsidRDefault="004C1F7C" w:rsidP="00665453">
            <w:pPr>
              <w:pStyle w:val="BodyText"/>
              <w:spacing w:before="240"/>
              <w:rPr>
                <w:sz w:val="20"/>
                <w:szCs w:val="20"/>
              </w:rPr>
            </w:pPr>
            <w:r w:rsidRPr="00FB0008">
              <w:rPr>
                <w:sz w:val="20"/>
                <w:szCs w:val="20"/>
              </w:rPr>
              <w:t xml:space="preserve">Potential </w:t>
            </w:r>
            <w:r w:rsidR="005B7F90" w:rsidRPr="00FB0008">
              <w:rPr>
                <w:sz w:val="20"/>
                <w:szCs w:val="20"/>
              </w:rPr>
              <w:t xml:space="preserve">future </w:t>
            </w:r>
            <w:r w:rsidRPr="00FB0008">
              <w:rPr>
                <w:sz w:val="20"/>
                <w:szCs w:val="20"/>
              </w:rPr>
              <w:t xml:space="preserve">venue users &amp; revenue partners </w:t>
            </w:r>
            <w:r w:rsidR="005C1A64" w:rsidRPr="00FB0008">
              <w:rPr>
                <w:sz w:val="20"/>
                <w:szCs w:val="20"/>
              </w:rPr>
              <w:t>e.g.</w:t>
            </w:r>
            <w:r w:rsidRPr="00FB0008">
              <w:rPr>
                <w:sz w:val="20"/>
                <w:szCs w:val="20"/>
              </w:rPr>
              <w:t xml:space="preserve"> hirers, producers, sponsors </w:t>
            </w:r>
          </w:p>
        </w:tc>
        <w:tc>
          <w:tcPr>
            <w:tcW w:w="3268" w:type="dxa"/>
            <w:vAlign w:val="center"/>
          </w:tcPr>
          <w:p w:rsidR="00BD1839" w:rsidRPr="00FB0008" w:rsidRDefault="004C1F7C" w:rsidP="00FB0008">
            <w:pPr>
              <w:pStyle w:val="BodyText"/>
              <w:spacing w:before="240"/>
              <w:rPr>
                <w:sz w:val="20"/>
                <w:szCs w:val="20"/>
              </w:rPr>
            </w:pPr>
            <w:r w:rsidRPr="00FB0008">
              <w:rPr>
                <w:sz w:val="20"/>
                <w:szCs w:val="20"/>
              </w:rPr>
              <w:t xml:space="preserve">2 </w:t>
            </w:r>
            <w:proofErr w:type="gramStart"/>
            <w:r w:rsidRPr="00FB0008">
              <w:rPr>
                <w:sz w:val="20"/>
                <w:szCs w:val="20"/>
              </w:rPr>
              <w:t>tickets</w:t>
            </w:r>
            <w:proofErr w:type="gramEnd"/>
            <w:r w:rsidRPr="00FB0008">
              <w:rPr>
                <w:sz w:val="20"/>
                <w:szCs w:val="20"/>
              </w:rPr>
              <w:t xml:space="preserve"> each for organisation to one </w:t>
            </w:r>
            <w:r w:rsidR="005B7F90" w:rsidRPr="00FB0008">
              <w:rPr>
                <w:sz w:val="20"/>
                <w:szCs w:val="20"/>
              </w:rPr>
              <w:t>performance</w:t>
            </w:r>
            <w:r w:rsidRPr="00FB0008">
              <w:rPr>
                <w:sz w:val="20"/>
                <w:szCs w:val="20"/>
              </w:rPr>
              <w:t>.</w:t>
            </w:r>
          </w:p>
        </w:tc>
        <w:tc>
          <w:tcPr>
            <w:tcW w:w="3267" w:type="dxa"/>
            <w:vAlign w:val="center"/>
          </w:tcPr>
          <w:p w:rsidR="004C1F7C" w:rsidRPr="00FB0008" w:rsidRDefault="004C1F7C" w:rsidP="00665453">
            <w:pPr>
              <w:pStyle w:val="BodyText"/>
              <w:spacing w:before="240"/>
              <w:rPr>
                <w:sz w:val="20"/>
                <w:szCs w:val="20"/>
              </w:rPr>
            </w:pPr>
            <w:r w:rsidRPr="00FB0008">
              <w:rPr>
                <w:sz w:val="20"/>
                <w:szCs w:val="20"/>
              </w:rPr>
              <w:t>Transferrable to another date.</w:t>
            </w:r>
            <w:r w:rsidR="00FB0008" w:rsidRPr="00FB0008">
              <w:rPr>
                <w:sz w:val="20"/>
                <w:szCs w:val="20"/>
              </w:rPr>
              <w:t xml:space="preserve"> </w:t>
            </w:r>
            <w:r w:rsidR="00FB0008">
              <w:rPr>
                <w:sz w:val="20"/>
                <w:szCs w:val="20"/>
              </w:rPr>
              <w:t xml:space="preserve">May be </w:t>
            </w:r>
            <w:r w:rsidR="00FB0008" w:rsidRPr="00FB0008">
              <w:rPr>
                <w:sz w:val="20"/>
                <w:szCs w:val="20"/>
              </w:rPr>
              <w:t>transferrable to another person</w:t>
            </w:r>
            <w:r w:rsidR="00FB0008">
              <w:rPr>
                <w:sz w:val="20"/>
                <w:szCs w:val="20"/>
              </w:rPr>
              <w:t xml:space="preserve"> within the same organisation</w:t>
            </w:r>
          </w:p>
        </w:tc>
      </w:tr>
    </w:tbl>
    <w:p w:rsidR="0017073F" w:rsidRPr="005B7F90" w:rsidRDefault="005C1A64" w:rsidP="008E1A75">
      <w:pPr>
        <w:pStyle w:val="BodyText"/>
        <w:rPr>
          <w:i/>
          <w:color w:val="FF0000"/>
          <w:sz w:val="20"/>
          <w:szCs w:val="20"/>
        </w:rPr>
      </w:pPr>
      <w:r w:rsidRPr="005B7F90">
        <w:rPr>
          <w:i/>
          <w:sz w:val="20"/>
          <w:szCs w:val="20"/>
        </w:rPr>
        <w:t xml:space="preserve">*The provision of complimentary tickets is dependent upon the availability of tickets for a given performance. </w:t>
      </w:r>
    </w:p>
    <w:p w:rsidR="00060048" w:rsidRDefault="00060048" w:rsidP="0053047C">
      <w:pPr>
        <w:pStyle w:val="BodyText"/>
        <w:rPr>
          <w:u w:val="single"/>
        </w:rPr>
      </w:pPr>
    </w:p>
    <w:p w:rsidR="000970CF" w:rsidRDefault="004C1F7C" w:rsidP="0053047C">
      <w:pPr>
        <w:pStyle w:val="BodyText"/>
        <w:rPr>
          <w:u w:val="single"/>
        </w:rPr>
      </w:pPr>
      <w:r w:rsidRPr="004C1F7C">
        <w:rPr>
          <w:u w:val="single"/>
        </w:rPr>
        <w:t>Management Control</w:t>
      </w:r>
      <w:r>
        <w:rPr>
          <w:u w:val="single"/>
        </w:rPr>
        <w:t>s</w:t>
      </w:r>
      <w:r w:rsidR="00BD1839">
        <w:rPr>
          <w:u w:val="single"/>
        </w:rPr>
        <w:t xml:space="preserve"> </w:t>
      </w:r>
    </w:p>
    <w:p w:rsidR="00017EFB" w:rsidRDefault="004C1F7C" w:rsidP="0053047C">
      <w:pPr>
        <w:pStyle w:val="BodyText"/>
      </w:pPr>
      <w:r w:rsidRPr="004C1F7C">
        <w:t>Comp</w:t>
      </w:r>
      <w:r>
        <w:t>limentary</w:t>
      </w:r>
      <w:r w:rsidRPr="004C1F7C">
        <w:t xml:space="preserve"> tickets </w:t>
      </w:r>
      <w:r>
        <w:t xml:space="preserve">are </w:t>
      </w:r>
      <w:r w:rsidRPr="004C1F7C">
        <w:t xml:space="preserve">documented through </w:t>
      </w:r>
      <w:r>
        <w:t xml:space="preserve">the </w:t>
      </w:r>
      <w:r w:rsidRPr="004C1F7C">
        <w:t>professional ticketing</w:t>
      </w:r>
      <w:r>
        <w:t xml:space="preserve"> software</w:t>
      </w:r>
      <w:r w:rsidRPr="004C1F7C">
        <w:t xml:space="preserve"> system. No-one is permitted in</w:t>
      </w:r>
      <w:r>
        <w:t>to</w:t>
      </w:r>
      <w:r w:rsidRPr="004C1F7C">
        <w:t xml:space="preserve"> the auditorium without a </w:t>
      </w:r>
      <w:r>
        <w:t xml:space="preserve">valid </w:t>
      </w:r>
      <w:r w:rsidRPr="004C1F7C">
        <w:t>ticket.</w:t>
      </w:r>
      <w:r w:rsidR="00FB0008">
        <w:t xml:space="preserve"> The system provides an audit trail to identify ticket holders. Opening Night lists will document the invitation criteria and be authorised by the Director.</w:t>
      </w:r>
      <w:r w:rsidR="00017EFB">
        <w:t xml:space="preserve">  </w:t>
      </w:r>
    </w:p>
    <w:p w:rsidR="00017EFB" w:rsidRPr="004C1F7C" w:rsidRDefault="00017EFB" w:rsidP="0053047C">
      <w:pPr>
        <w:pStyle w:val="BodyText"/>
      </w:pPr>
      <w:r>
        <w:t>A protocol will be developed for the allocation of tickets to educational and non-profit organisations to ensure equity of distribution to all eligible organisations in the Northern Beaches.</w:t>
      </w:r>
    </w:p>
    <w:p w:rsidR="00060048" w:rsidRDefault="00060048" w:rsidP="008E1A75">
      <w:pPr>
        <w:pStyle w:val="BodyText"/>
        <w:rPr>
          <w:b/>
        </w:rPr>
      </w:pPr>
    </w:p>
    <w:p w:rsidR="009210C7" w:rsidRDefault="009210C7" w:rsidP="008E1A75">
      <w:pPr>
        <w:pStyle w:val="BodyText"/>
        <w:rPr>
          <w:b/>
        </w:rPr>
      </w:pPr>
      <w:r w:rsidRPr="009210C7">
        <w:rPr>
          <w:b/>
        </w:rPr>
        <w:t>References and related documents</w:t>
      </w:r>
    </w:p>
    <w:p w:rsidR="000874D8" w:rsidRPr="000874D8" w:rsidRDefault="0053047C" w:rsidP="008E1A75">
      <w:pPr>
        <w:pStyle w:val="BodyText"/>
      </w:pPr>
      <w:r>
        <w:t xml:space="preserve">Council </w:t>
      </w:r>
      <w:r w:rsidR="000874D8" w:rsidRPr="000874D8">
        <w:t xml:space="preserve">Code of Conduct </w:t>
      </w:r>
    </w:p>
    <w:p w:rsidR="009210C7" w:rsidRDefault="009210C7" w:rsidP="008E1A75">
      <w:pPr>
        <w:pStyle w:val="BodyText"/>
        <w:rPr>
          <w:b/>
        </w:rPr>
      </w:pPr>
      <w:r w:rsidRPr="009210C7">
        <w:rPr>
          <w:b/>
        </w:rPr>
        <w:t>Definitions</w:t>
      </w:r>
      <w:r w:rsidR="00391684">
        <w:rPr>
          <w:b/>
        </w:rPr>
        <w:t xml:space="preserve"> </w:t>
      </w:r>
    </w:p>
    <w:p w:rsidR="005B7F90" w:rsidRPr="008E1929" w:rsidRDefault="005B7F90" w:rsidP="008E1A75">
      <w:pPr>
        <w:pStyle w:val="BodyText"/>
      </w:pPr>
      <w:r w:rsidRPr="008E1929">
        <w:rPr>
          <w:i/>
        </w:rPr>
        <w:t>Annual Season</w:t>
      </w:r>
      <w:r w:rsidRPr="008E1929">
        <w:t xml:space="preserve"> – The Glen Street Theatre program is based on a calendar year. The </w:t>
      </w:r>
      <w:r w:rsidR="008E1929" w:rsidRPr="008E1929">
        <w:t>annual s</w:t>
      </w:r>
      <w:r w:rsidRPr="008E1929">
        <w:t xml:space="preserve">eason is defined as events and productions that are actively programmed by the theatre. </w:t>
      </w:r>
      <w:r w:rsidR="008E1929" w:rsidRPr="008E1929">
        <w:t>The numbers of shows vary per year. The annual season</w:t>
      </w:r>
      <w:r w:rsidRPr="008E1929">
        <w:t xml:space="preserve"> does not include events and productions by hirers of the theatre.</w:t>
      </w:r>
    </w:p>
    <w:p w:rsidR="00F443FE" w:rsidRPr="008E1929" w:rsidRDefault="00F443FE" w:rsidP="00F443FE">
      <w:pPr>
        <w:pStyle w:val="BodyText"/>
      </w:pPr>
      <w:r w:rsidRPr="008E1929">
        <w:rPr>
          <w:i/>
        </w:rPr>
        <w:t>Availability</w:t>
      </w:r>
      <w:r w:rsidR="008E1929" w:rsidRPr="008E1929">
        <w:t xml:space="preserve"> – The number of seats left unsold for a performance</w:t>
      </w:r>
      <w:r w:rsidR="00F36288">
        <w:t>, taking into account projected future sales</w:t>
      </w:r>
      <w:r w:rsidR="008E1929" w:rsidRPr="008E1929">
        <w:t>.</w:t>
      </w:r>
    </w:p>
    <w:p w:rsidR="00E76774" w:rsidRPr="008E1929" w:rsidRDefault="000874D8" w:rsidP="008E1A75">
      <w:pPr>
        <w:pStyle w:val="BodyText"/>
      </w:pPr>
      <w:r w:rsidRPr="008E1929">
        <w:rPr>
          <w:i/>
        </w:rPr>
        <w:t>Opening Nights</w:t>
      </w:r>
      <w:r w:rsidRPr="008E1929">
        <w:t xml:space="preserve"> </w:t>
      </w:r>
      <w:r w:rsidR="00053BD2" w:rsidRPr="008E1929">
        <w:t xml:space="preserve">- </w:t>
      </w:r>
      <w:r w:rsidR="000970CF" w:rsidRPr="008E1929">
        <w:t>P</w:t>
      </w:r>
      <w:r w:rsidRPr="008E1929">
        <w:t xml:space="preserve">erformances pre-determined by Glen Street Theatre as part of the annual season. </w:t>
      </w:r>
      <w:r w:rsidR="008E1929">
        <w:t>N</w:t>
      </w:r>
      <w:r w:rsidRPr="008E1929">
        <w:t xml:space="preserve">ot all productions may have designated </w:t>
      </w:r>
      <w:r w:rsidR="008E1929" w:rsidRPr="008E1929">
        <w:t>o</w:t>
      </w:r>
      <w:r w:rsidRPr="008E1929">
        <w:t xml:space="preserve">pening </w:t>
      </w:r>
      <w:r w:rsidR="008E1929" w:rsidRPr="008E1929">
        <w:t>n</w:t>
      </w:r>
      <w:r w:rsidRPr="008E1929">
        <w:t>ights.</w:t>
      </w:r>
    </w:p>
    <w:p w:rsidR="007C7343" w:rsidRPr="009210C7" w:rsidRDefault="007C7343" w:rsidP="007C7343">
      <w:pPr>
        <w:pStyle w:val="BodyText"/>
        <w:rPr>
          <w:b/>
        </w:rPr>
      </w:pPr>
      <w:r w:rsidRPr="009210C7">
        <w:rPr>
          <w:b/>
        </w:rPr>
        <w:lastRenderedPageBreak/>
        <w:t>Responsible Officer</w:t>
      </w:r>
    </w:p>
    <w:p w:rsidR="007C7343" w:rsidRDefault="00E037FB" w:rsidP="007C7343">
      <w:pPr>
        <w:pStyle w:val="BodyText"/>
      </w:pPr>
      <w:r w:rsidRPr="00532B09">
        <w:t xml:space="preserve">Executive Manager </w:t>
      </w:r>
      <w:r w:rsidR="00532B09" w:rsidRPr="00532B09">
        <w:t xml:space="preserve">Community Arts and Culture </w:t>
      </w:r>
    </w:p>
    <w:p w:rsidR="009210C7" w:rsidRPr="009210C7" w:rsidRDefault="009210C7" w:rsidP="008E1A75">
      <w:pPr>
        <w:pStyle w:val="BodyText"/>
        <w:rPr>
          <w:b/>
        </w:rPr>
      </w:pPr>
      <w:r w:rsidRPr="009210C7">
        <w:rPr>
          <w:b/>
        </w:rPr>
        <w:t>Review Date</w:t>
      </w:r>
    </w:p>
    <w:p w:rsidR="009210C7" w:rsidRPr="0053047C" w:rsidRDefault="0053047C" w:rsidP="008E1A75">
      <w:pPr>
        <w:pStyle w:val="BodyText"/>
      </w:pPr>
      <w:r>
        <w:t xml:space="preserve">August </w:t>
      </w:r>
      <w:r w:rsidRPr="0053047C">
        <w:t>2022</w:t>
      </w:r>
    </w:p>
    <w:p w:rsidR="00E76774" w:rsidRPr="00E76774" w:rsidRDefault="00A67035" w:rsidP="00E037FB">
      <w:pPr>
        <w:rPr>
          <w:b/>
        </w:rPr>
      </w:pPr>
      <w:r w:rsidRPr="0053047C">
        <w:rPr>
          <w:b/>
        </w:rPr>
        <w:br w:type="page"/>
      </w:r>
      <w:r w:rsidR="00E76774" w:rsidRPr="00E76774">
        <w:rPr>
          <w:b/>
        </w:rPr>
        <w:lastRenderedPageBreak/>
        <w:t>Revision History</w:t>
      </w:r>
    </w:p>
    <w:tbl>
      <w:tblPr>
        <w:tblStyle w:val="TableGrid"/>
        <w:tblW w:w="9531" w:type="dxa"/>
        <w:tblInd w:w="108" w:type="dxa"/>
        <w:tblLayout w:type="fixed"/>
        <w:tblLook w:val="04A0" w:firstRow="1" w:lastRow="0" w:firstColumn="1" w:lastColumn="0" w:noHBand="0" w:noVBand="1"/>
      </w:tblPr>
      <w:tblGrid>
        <w:gridCol w:w="1060"/>
        <w:gridCol w:w="1350"/>
        <w:gridCol w:w="5528"/>
        <w:gridCol w:w="1593"/>
      </w:tblGrid>
      <w:tr w:rsidR="007C7343" w:rsidRPr="002F1312" w:rsidTr="007C7343">
        <w:tc>
          <w:tcPr>
            <w:tcW w:w="1060" w:type="dxa"/>
            <w:shd w:val="clear" w:color="auto" w:fill="BFBFBF" w:themeFill="background1" w:themeFillShade="BF"/>
          </w:tcPr>
          <w:p w:rsidR="007C7343" w:rsidRPr="00193F1F" w:rsidRDefault="007C7343" w:rsidP="00B50E9E">
            <w:pPr>
              <w:pStyle w:val="BodyText"/>
              <w:widowControl w:val="0"/>
              <w:tabs>
                <w:tab w:val="left" w:pos="9072"/>
                <w:tab w:val="left" w:pos="9639"/>
              </w:tabs>
              <w:spacing w:after="120" w:line="276" w:lineRule="auto"/>
              <w:ind w:right="-2"/>
              <w:rPr>
                <w:b/>
                <w:sz w:val="18"/>
                <w:szCs w:val="18"/>
              </w:rPr>
            </w:pPr>
            <w:r w:rsidRPr="00193F1F">
              <w:rPr>
                <w:b/>
                <w:sz w:val="18"/>
                <w:szCs w:val="18"/>
              </w:rPr>
              <w:t>Revision</w:t>
            </w:r>
          </w:p>
        </w:tc>
        <w:tc>
          <w:tcPr>
            <w:tcW w:w="1350" w:type="dxa"/>
            <w:shd w:val="clear" w:color="auto" w:fill="BFBFBF" w:themeFill="background1" w:themeFillShade="BF"/>
          </w:tcPr>
          <w:p w:rsidR="007C7343" w:rsidRPr="00193F1F" w:rsidRDefault="007C7343" w:rsidP="00B50E9E">
            <w:pPr>
              <w:pStyle w:val="BodyText"/>
              <w:widowControl w:val="0"/>
              <w:tabs>
                <w:tab w:val="left" w:pos="9072"/>
                <w:tab w:val="left" w:pos="9639"/>
              </w:tabs>
              <w:spacing w:after="120" w:line="276" w:lineRule="auto"/>
              <w:ind w:right="-2"/>
              <w:rPr>
                <w:b/>
                <w:sz w:val="18"/>
                <w:szCs w:val="18"/>
              </w:rPr>
            </w:pPr>
            <w:r w:rsidRPr="00193F1F">
              <w:rPr>
                <w:b/>
                <w:sz w:val="18"/>
                <w:szCs w:val="18"/>
              </w:rPr>
              <w:t>Date</w:t>
            </w:r>
          </w:p>
        </w:tc>
        <w:tc>
          <w:tcPr>
            <w:tcW w:w="5528" w:type="dxa"/>
            <w:shd w:val="clear" w:color="auto" w:fill="BFBFBF" w:themeFill="background1" w:themeFillShade="BF"/>
          </w:tcPr>
          <w:p w:rsidR="007C7343" w:rsidRPr="00193F1F" w:rsidRDefault="0053047C" w:rsidP="00B50E9E">
            <w:pPr>
              <w:pStyle w:val="BodyText"/>
              <w:widowControl w:val="0"/>
              <w:tabs>
                <w:tab w:val="left" w:pos="9072"/>
                <w:tab w:val="left" w:pos="9639"/>
              </w:tabs>
              <w:spacing w:after="120" w:line="276" w:lineRule="auto"/>
              <w:ind w:right="-2"/>
              <w:rPr>
                <w:b/>
                <w:sz w:val="18"/>
                <w:szCs w:val="18"/>
              </w:rPr>
            </w:pPr>
            <w:r>
              <w:rPr>
                <w:b/>
                <w:sz w:val="18"/>
                <w:szCs w:val="18"/>
              </w:rPr>
              <w:t>Details</w:t>
            </w:r>
          </w:p>
        </w:tc>
        <w:tc>
          <w:tcPr>
            <w:tcW w:w="1593" w:type="dxa"/>
            <w:shd w:val="clear" w:color="auto" w:fill="BFBFBF" w:themeFill="background1" w:themeFillShade="BF"/>
          </w:tcPr>
          <w:p w:rsidR="007C7343" w:rsidRPr="00193F1F" w:rsidRDefault="00CD383A" w:rsidP="00B50E9E">
            <w:pPr>
              <w:pStyle w:val="BodyText"/>
              <w:widowControl w:val="0"/>
              <w:tabs>
                <w:tab w:val="left" w:pos="9072"/>
                <w:tab w:val="left" w:pos="9639"/>
              </w:tabs>
              <w:spacing w:after="120" w:line="276" w:lineRule="auto"/>
              <w:ind w:right="-2"/>
              <w:rPr>
                <w:b/>
                <w:sz w:val="18"/>
                <w:szCs w:val="18"/>
              </w:rPr>
            </w:pPr>
            <w:r>
              <w:rPr>
                <w:b/>
                <w:sz w:val="18"/>
                <w:szCs w:val="18"/>
              </w:rPr>
              <w:t>TRIM</w:t>
            </w:r>
            <w:r w:rsidR="007C7343">
              <w:rPr>
                <w:b/>
                <w:sz w:val="18"/>
                <w:szCs w:val="18"/>
              </w:rPr>
              <w:t xml:space="preserve"> </w:t>
            </w:r>
            <w:r w:rsidR="007C7343" w:rsidRPr="00193F1F">
              <w:rPr>
                <w:b/>
                <w:sz w:val="18"/>
                <w:szCs w:val="18"/>
              </w:rPr>
              <w:t>Ref</w:t>
            </w:r>
          </w:p>
        </w:tc>
      </w:tr>
      <w:tr w:rsidR="007C7343" w:rsidRPr="002F1312" w:rsidTr="007C7343">
        <w:tc>
          <w:tcPr>
            <w:tcW w:w="1060" w:type="dxa"/>
          </w:tcPr>
          <w:p w:rsidR="007C7343" w:rsidRPr="00193F1F" w:rsidRDefault="007C7343" w:rsidP="00B50E9E">
            <w:pPr>
              <w:pStyle w:val="BodyText"/>
              <w:widowControl w:val="0"/>
              <w:tabs>
                <w:tab w:val="left" w:pos="9072"/>
                <w:tab w:val="left" w:pos="9639"/>
              </w:tabs>
              <w:spacing w:after="120" w:line="276" w:lineRule="auto"/>
              <w:ind w:right="-2"/>
              <w:rPr>
                <w:sz w:val="18"/>
                <w:szCs w:val="18"/>
              </w:rPr>
            </w:pPr>
            <w:r w:rsidRPr="00193F1F">
              <w:rPr>
                <w:sz w:val="18"/>
                <w:szCs w:val="18"/>
              </w:rPr>
              <w:t>1</w:t>
            </w:r>
          </w:p>
        </w:tc>
        <w:tc>
          <w:tcPr>
            <w:tcW w:w="1350" w:type="dxa"/>
          </w:tcPr>
          <w:p w:rsidR="007C7343" w:rsidRPr="00193F1F" w:rsidRDefault="0053047C" w:rsidP="00B50E9E">
            <w:pPr>
              <w:pStyle w:val="BodyText"/>
              <w:widowControl w:val="0"/>
              <w:tabs>
                <w:tab w:val="left" w:pos="9072"/>
                <w:tab w:val="left" w:pos="9639"/>
              </w:tabs>
              <w:spacing w:after="120" w:line="276" w:lineRule="auto"/>
              <w:ind w:right="-2"/>
              <w:rPr>
                <w:sz w:val="18"/>
                <w:szCs w:val="18"/>
              </w:rPr>
            </w:pPr>
            <w:r>
              <w:rPr>
                <w:sz w:val="18"/>
                <w:szCs w:val="18"/>
              </w:rPr>
              <w:t>26 June 2018</w:t>
            </w:r>
          </w:p>
        </w:tc>
        <w:tc>
          <w:tcPr>
            <w:tcW w:w="5528" w:type="dxa"/>
          </w:tcPr>
          <w:p w:rsidR="007C7343" w:rsidRPr="00193F1F" w:rsidRDefault="0053047C" w:rsidP="00E037FB">
            <w:pPr>
              <w:pStyle w:val="BodyText"/>
              <w:widowControl w:val="0"/>
              <w:tabs>
                <w:tab w:val="left" w:pos="9072"/>
                <w:tab w:val="left" w:pos="9639"/>
              </w:tabs>
              <w:spacing w:after="120" w:line="276" w:lineRule="auto"/>
              <w:ind w:right="-2"/>
              <w:rPr>
                <w:sz w:val="18"/>
                <w:szCs w:val="18"/>
              </w:rPr>
            </w:pPr>
            <w:r>
              <w:rPr>
                <w:sz w:val="18"/>
                <w:szCs w:val="18"/>
              </w:rPr>
              <w:t xml:space="preserve">First draft </w:t>
            </w:r>
            <w:r w:rsidRPr="0053047C">
              <w:rPr>
                <w:sz w:val="18"/>
                <w:szCs w:val="18"/>
              </w:rPr>
              <w:t>Glen Street Theatre Complimentary Tickets</w:t>
            </w:r>
            <w:r>
              <w:rPr>
                <w:sz w:val="18"/>
                <w:szCs w:val="18"/>
              </w:rPr>
              <w:t xml:space="preserve"> </w:t>
            </w:r>
            <w:r w:rsidR="00E037FB">
              <w:rPr>
                <w:sz w:val="18"/>
                <w:szCs w:val="18"/>
              </w:rPr>
              <w:t>policy</w:t>
            </w:r>
            <w:r w:rsidR="00017EFB">
              <w:rPr>
                <w:sz w:val="18"/>
                <w:szCs w:val="18"/>
              </w:rPr>
              <w:t xml:space="preserve"> for exhibition</w:t>
            </w:r>
          </w:p>
        </w:tc>
        <w:tc>
          <w:tcPr>
            <w:tcW w:w="1593" w:type="dxa"/>
          </w:tcPr>
          <w:p w:rsidR="007C7343" w:rsidRPr="00193F1F" w:rsidRDefault="0053047C" w:rsidP="00B50E9E">
            <w:pPr>
              <w:pStyle w:val="BodyText"/>
              <w:widowControl w:val="0"/>
              <w:tabs>
                <w:tab w:val="left" w:pos="9072"/>
                <w:tab w:val="left" w:pos="9639"/>
              </w:tabs>
              <w:spacing w:after="120" w:line="276" w:lineRule="auto"/>
              <w:ind w:right="-2"/>
              <w:rPr>
                <w:sz w:val="18"/>
                <w:szCs w:val="18"/>
              </w:rPr>
            </w:pPr>
            <w:r w:rsidRPr="0053047C">
              <w:rPr>
                <w:sz w:val="18"/>
                <w:szCs w:val="18"/>
              </w:rPr>
              <w:t>2018/239704</w:t>
            </w:r>
          </w:p>
        </w:tc>
      </w:tr>
      <w:tr w:rsidR="007C7343" w:rsidRPr="002F1312" w:rsidTr="007C7343">
        <w:tc>
          <w:tcPr>
            <w:tcW w:w="1060" w:type="dxa"/>
          </w:tcPr>
          <w:p w:rsidR="007C7343" w:rsidRPr="00193F1F" w:rsidRDefault="007C7343" w:rsidP="00B50E9E">
            <w:pPr>
              <w:pStyle w:val="BodyText"/>
              <w:widowControl w:val="0"/>
              <w:tabs>
                <w:tab w:val="left" w:pos="9072"/>
                <w:tab w:val="left" w:pos="9639"/>
              </w:tabs>
              <w:spacing w:after="120" w:line="276" w:lineRule="auto"/>
              <w:ind w:right="-2"/>
              <w:rPr>
                <w:sz w:val="18"/>
                <w:szCs w:val="18"/>
              </w:rPr>
            </w:pPr>
            <w:r>
              <w:rPr>
                <w:sz w:val="18"/>
                <w:szCs w:val="18"/>
              </w:rPr>
              <w:t>2</w:t>
            </w:r>
          </w:p>
        </w:tc>
        <w:tc>
          <w:tcPr>
            <w:tcW w:w="1350" w:type="dxa"/>
          </w:tcPr>
          <w:p w:rsidR="007C7343" w:rsidRDefault="007C7343" w:rsidP="00B50E9E">
            <w:pPr>
              <w:pStyle w:val="BodyText"/>
              <w:widowControl w:val="0"/>
              <w:tabs>
                <w:tab w:val="left" w:pos="9072"/>
                <w:tab w:val="left" w:pos="9639"/>
              </w:tabs>
              <w:spacing w:after="120" w:line="276" w:lineRule="auto"/>
              <w:ind w:right="-2"/>
              <w:rPr>
                <w:sz w:val="18"/>
                <w:szCs w:val="18"/>
              </w:rPr>
            </w:pPr>
          </w:p>
        </w:tc>
        <w:tc>
          <w:tcPr>
            <w:tcW w:w="5528" w:type="dxa"/>
          </w:tcPr>
          <w:p w:rsidR="007C7343" w:rsidRPr="00193F1F" w:rsidRDefault="007C7343" w:rsidP="00B50E9E">
            <w:pPr>
              <w:pStyle w:val="BodyText"/>
              <w:widowControl w:val="0"/>
              <w:tabs>
                <w:tab w:val="left" w:pos="9072"/>
                <w:tab w:val="left" w:pos="9639"/>
              </w:tabs>
              <w:spacing w:after="120" w:line="276" w:lineRule="auto"/>
              <w:ind w:right="-2"/>
              <w:rPr>
                <w:sz w:val="18"/>
                <w:szCs w:val="18"/>
              </w:rPr>
            </w:pPr>
          </w:p>
        </w:tc>
        <w:tc>
          <w:tcPr>
            <w:tcW w:w="1593" w:type="dxa"/>
          </w:tcPr>
          <w:p w:rsidR="007C7343" w:rsidRPr="004155AB" w:rsidRDefault="007C7343" w:rsidP="00B50E9E">
            <w:pPr>
              <w:pStyle w:val="BodyText"/>
              <w:widowControl w:val="0"/>
              <w:tabs>
                <w:tab w:val="left" w:pos="9072"/>
                <w:tab w:val="left" w:pos="9639"/>
              </w:tabs>
              <w:spacing w:after="120" w:line="276" w:lineRule="auto"/>
              <w:ind w:right="-2"/>
              <w:rPr>
                <w:sz w:val="18"/>
                <w:szCs w:val="18"/>
              </w:rPr>
            </w:pPr>
          </w:p>
        </w:tc>
      </w:tr>
      <w:tr w:rsidR="007C7343" w:rsidRPr="002F1312" w:rsidTr="007C7343">
        <w:tc>
          <w:tcPr>
            <w:tcW w:w="1060" w:type="dxa"/>
          </w:tcPr>
          <w:p w:rsidR="007C7343" w:rsidRPr="00193F1F" w:rsidRDefault="007C7343" w:rsidP="00B50E9E">
            <w:pPr>
              <w:pStyle w:val="BodyText"/>
              <w:widowControl w:val="0"/>
              <w:tabs>
                <w:tab w:val="left" w:pos="9072"/>
                <w:tab w:val="left" w:pos="9639"/>
              </w:tabs>
              <w:spacing w:after="120" w:line="276" w:lineRule="auto"/>
              <w:ind w:right="-2"/>
              <w:rPr>
                <w:sz w:val="18"/>
                <w:szCs w:val="18"/>
              </w:rPr>
            </w:pPr>
          </w:p>
        </w:tc>
        <w:tc>
          <w:tcPr>
            <w:tcW w:w="1350" w:type="dxa"/>
          </w:tcPr>
          <w:p w:rsidR="007C7343" w:rsidRDefault="007C7343" w:rsidP="00B50E9E">
            <w:pPr>
              <w:pStyle w:val="BodyText"/>
              <w:widowControl w:val="0"/>
              <w:tabs>
                <w:tab w:val="left" w:pos="9072"/>
                <w:tab w:val="left" w:pos="9639"/>
              </w:tabs>
              <w:spacing w:after="120" w:line="276" w:lineRule="auto"/>
              <w:ind w:right="-2"/>
              <w:rPr>
                <w:sz w:val="18"/>
                <w:szCs w:val="18"/>
              </w:rPr>
            </w:pPr>
          </w:p>
        </w:tc>
        <w:tc>
          <w:tcPr>
            <w:tcW w:w="5528" w:type="dxa"/>
          </w:tcPr>
          <w:p w:rsidR="007C7343" w:rsidRPr="00193F1F" w:rsidRDefault="007C7343" w:rsidP="00B50E9E">
            <w:pPr>
              <w:pStyle w:val="BodyText"/>
              <w:widowControl w:val="0"/>
              <w:tabs>
                <w:tab w:val="left" w:pos="9072"/>
                <w:tab w:val="left" w:pos="9639"/>
              </w:tabs>
              <w:spacing w:after="120" w:line="276" w:lineRule="auto"/>
              <w:ind w:right="-2"/>
              <w:rPr>
                <w:sz w:val="18"/>
                <w:szCs w:val="18"/>
              </w:rPr>
            </w:pPr>
          </w:p>
        </w:tc>
        <w:tc>
          <w:tcPr>
            <w:tcW w:w="1593" w:type="dxa"/>
          </w:tcPr>
          <w:p w:rsidR="007C7343" w:rsidRPr="004155AB" w:rsidRDefault="007C7343" w:rsidP="00B50E9E">
            <w:pPr>
              <w:pStyle w:val="BodyText"/>
              <w:widowControl w:val="0"/>
              <w:tabs>
                <w:tab w:val="left" w:pos="9072"/>
                <w:tab w:val="left" w:pos="9639"/>
              </w:tabs>
              <w:spacing w:after="120" w:line="276" w:lineRule="auto"/>
              <w:ind w:right="-2"/>
              <w:rPr>
                <w:sz w:val="18"/>
                <w:szCs w:val="18"/>
              </w:rPr>
            </w:pPr>
          </w:p>
        </w:tc>
      </w:tr>
    </w:tbl>
    <w:p w:rsidR="00E76774" w:rsidRDefault="00E76774" w:rsidP="008E1A75">
      <w:pPr>
        <w:pStyle w:val="BodyText"/>
      </w:pPr>
    </w:p>
    <w:p w:rsidR="00E76774" w:rsidRPr="00CD383A" w:rsidRDefault="00E76774" w:rsidP="008E1A75">
      <w:pPr>
        <w:pStyle w:val="BodyText"/>
        <w:rPr>
          <w:color w:val="FF0000"/>
        </w:rPr>
      </w:pPr>
    </w:p>
    <w:sectPr w:rsidR="00E76774" w:rsidRPr="00CD383A" w:rsidSect="007E1DE8">
      <w:headerReference w:type="even" r:id="rId9"/>
      <w:headerReference w:type="default" r:id="rId10"/>
      <w:footerReference w:type="even" r:id="rId11"/>
      <w:footerReference w:type="default" r:id="rId12"/>
      <w:headerReference w:type="first" r:id="rId13"/>
      <w:footerReference w:type="first" r:id="rId14"/>
      <w:pgSz w:w="11906" w:h="16838" w:code="9"/>
      <w:pgMar w:top="1224"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F0" w:rsidRDefault="001F02F0" w:rsidP="008E54E4">
      <w:r>
        <w:separator/>
      </w:r>
    </w:p>
  </w:endnote>
  <w:endnote w:type="continuationSeparator" w:id="0">
    <w:p w:rsidR="001F02F0" w:rsidRDefault="001F02F0"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5" w:rsidRDefault="00DC3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5" w:rsidRDefault="00DC3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5" w:rsidRDefault="00DC3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F0" w:rsidRDefault="001F02F0" w:rsidP="008E54E4">
      <w:r>
        <w:separator/>
      </w:r>
    </w:p>
  </w:footnote>
  <w:footnote w:type="continuationSeparator" w:id="0">
    <w:p w:rsidR="001F02F0" w:rsidRDefault="001F02F0" w:rsidP="008E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5" w:rsidRDefault="00DC3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F9" w:rsidRDefault="001F02F0" w:rsidP="001820F9">
    <w:pPr>
      <w:pStyle w:val="Header"/>
      <w:jc w:val="right"/>
    </w:pPr>
    <w:sdt>
      <w:sdtPr>
        <w:id w:val="168231526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1DE8">
      <w:rPr>
        <w:noProof/>
        <w:lang w:eastAsia="en-AU"/>
      </w:rPr>
      <w:drawing>
        <wp:inline distT="0" distB="0" distL="0" distR="0" wp14:anchorId="5DE698F8" wp14:editId="72874C44">
          <wp:extent cx="1238250" cy="542925"/>
          <wp:effectExtent l="0" t="0" r="0" b="9525"/>
          <wp:docPr id="1" name="Picture 1" descr="cid:image006.png@01D3062C.601C2020"/>
          <wp:cNvGraphicFramePr/>
          <a:graphic xmlns:a="http://schemas.openxmlformats.org/drawingml/2006/main">
            <a:graphicData uri="http://schemas.openxmlformats.org/drawingml/2006/picture">
              <pic:pic xmlns:pic="http://schemas.openxmlformats.org/drawingml/2006/picture">
                <pic:nvPicPr>
                  <pic:cNvPr id="1" name="Picture 1" descr="cid:image006.png@01D3062C.601C20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95" w:rsidRDefault="00DC3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64C1EA"/>
    <w:lvl w:ilvl="0">
      <w:start w:val="1"/>
      <w:numFmt w:val="decimal"/>
      <w:lvlText w:val="%1."/>
      <w:lvlJc w:val="left"/>
      <w:pPr>
        <w:tabs>
          <w:tab w:val="num" w:pos="1492"/>
        </w:tabs>
        <w:ind w:left="1492" w:hanging="360"/>
      </w:pPr>
    </w:lvl>
  </w:abstractNum>
  <w:abstractNum w:abstractNumId="1">
    <w:nsid w:val="FFFFFF7D"/>
    <w:multiLevelType w:val="singleLevel"/>
    <w:tmpl w:val="56CC3032"/>
    <w:lvl w:ilvl="0">
      <w:start w:val="1"/>
      <w:numFmt w:val="decimal"/>
      <w:lvlText w:val="%1."/>
      <w:lvlJc w:val="left"/>
      <w:pPr>
        <w:tabs>
          <w:tab w:val="num" w:pos="1209"/>
        </w:tabs>
        <w:ind w:left="1209" w:hanging="360"/>
      </w:pPr>
    </w:lvl>
  </w:abstractNum>
  <w:abstractNum w:abstractNumId="2">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4E30BFB"/>
    <w:multiLevelType w:val="multilevel"/>
    <w:tmpl w:val="084831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6556352"/>
    <w:multiLevelType w:val="hybridMultilevel"/>
    <w:tmpl w:val="92F41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F76452"/>
    <w:multiLevelType w:val="hybridMultilevel"/>
    <w:tmpl w:val="1D441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8">
    <w:nsid w:val="4BD90232"/>
    <w:multiLevelType w:val="hybridMultilevel"/>
    <w:tmpl w:val="D5360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C685408"/>
    <w:multiLevelType w:val="hybridMultilevel"/>
    <w:tmpl w:val="0846C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13959E6"/>
    <w:multiLevelType w:val="hybridMultilevel"/>
    <w:tmpl w:val="0538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013D7F"/>
    <w:multiLevelType w:val="hybridMultilevel"/>
    <w:tmpl w:val="09F08806"/>
    <w:lvl w:ilvl="0" w:tplc="35D249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17"/>
  </w:num>
  <w:num w:numId="5">
    <w:abstractNumId w:val="17"/>
  </w:num>
  <w:num w:numId="6">
    <w:abstractNumId w:val="17"/>
  </w:num>
  <w:num w:numId="7">
    <w:abstractNumId w:val="8"/>
  </w:num>
  <w:num w:numId="8">
    <w:abstractNumId w:val="8"/>
  </w:num>
  <w:num w:numId="9">
    <w:abstractNumId w:val="3"/>
  </w:num>
  <w:num w:numId="10">
    <w:abstractNumId w:val="3"/>
  </w:num>
  <w:num w:numId="11">
    <w:abstractNumId w:val="2"/>
  </w:num>
  <w:num w:numId="12">
    <w:abstractNumId w:val="2"/>
  </w:num>
  <w:num w:numId="13">
    <w:abstractNumId w:val="10"/>
  </w:num>
  <w:num w:numId="14">
    <w:abstractNumId w:val="15"/>
  </w:num>
  <w:num w:numId="15">
    <w:abstractNumId w:val="10"/>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16"/>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17"/>
  </w:num>
  <w:num w:numId="32">
    <w:abstractNumId w:val="17"/>
  </w:num>
  <w:num w:numId="33">
    <w:abstractNumId w:val="17"/>
  </w:num>
  <w:num w:numId="34">
    <w:abstractNumId w:val="17"/>
  </w:num>
  <w:num w:numId="35">
    <w:abstractNumId w:val="17"/>
  </w:num>
  <w:num w:numId="36">
    <w:abstractNumId w:val="12"/>
  </w:num>
  <w:num w:numId="37">
    <w:abstractNumId w:val="22"/>
  </w:num>
  <w:num w:numId="38">
    <w:abstractNumId w:val="23"/>
  </w:num>
  <w:num w:numId="39">
    <w:abstractNumId w:val="13"/>
  </w:num>
  <w:num w:numId="40">
    <w:abstractNumId w:val="17"/>
  </w:num>
  <w:num w:numId="41">
    <w:abstractNumId w:val="14"/>
  </w:num>
  <w:num w:numId="42">
    <w:abstractNumId w:val="2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C7"/>
    <w:rsid w:val="00017EFB"/>
    <w:rsid w:val="000203F1"/>
    <w:rsid w:val="00041437"/>
    <w:rsid w:val="00053BD2"/>
    <w:rsid w:val="00060048"/>
    <w:rsid w:val="0006152C"/>
    <w:rsid w:val="00065E60"/>
    <w:rsid w:val="000874D8"/>
    <w:rsid w:val="000970CF"/>
    <w:rsid w:val="000A3DAE"/>
    <w:rsid w:val="000D1FCD"/>
    <w:rsid w:val="000E0068"/>
    <w:rsid w:val="00105241"/>
    <w:rsid w:val="00133407"/>
    <w:rsid w:val="001360AE"/>
    <w:rsid w:val="0017073F"/>
    <w:rsid w:val="00180941"/>
    <w:rsid w:val="001820F9"/>
    <w:rsid w:val="001A4E6C"/>
    <w:rsid w:val="001B1092"/>
    <w:rsid w:val="001C1771"/>
    <w:rsid w:val="001C6C6D"/>
    <w:rsid w:val="001D6661"/>
    <w:rsid w:val="001E585B"/>
    <w:rsid w:val="001E7DE4"/>
    <w:rsid w:val="001F02F0"/>
    <w:rsid w:val="002074C4"/>
    <w:rsid w:val="0021143E"/>
    <w:rsid w:val="0022601A"/>
    <w:rsid w:val="002359E1"/>
    <w:rsid w:val="00240721"/>
    <w:rsid w:val="00247560"/>
    <w:rsid w:val="00267C42"/>
    <w:rsid w:val="002A1E92"/>
    <w:rsid w:val="002C66CC"/>
    <w:rsid w:val="002E6C18"/>
    <w:rsid w:val="0031641C"/>
    <w:rsid w:val="00346047"/>
    <w:rsid w:val="00361FCE"/>
    <w:rsid w:val="00375DEE"/>
    <w:rsid w:val="003821E8"/>
    <w:rsid w:val="00385241"/>
    <w:rsid w:val="00391684"/>
    <w:rsid w:val="003A645C"/>
    <w:rsid w:val="003D369D"/>
    <w:rsid w:val="003E0DFE"/>
    <w:rsid w:val="0040072E"/>
    <w:rsid w:val="00404065"/>
    <w:rsid w:val="00407F87"/>
    <w:rsid w:val="0041066E"/>
    <w:rsid w:val="004222D2"/>
    <w:rsid w:val="00442191"/>
    <w:rsid w:val="004635B2"/>
    <w:rsid w:val="00464066"/>
    <w:rsid w:val="0048755E"/>
    <w:rsid w:val="004A17B8"/>
    <w:rsid w:val="004C1F7C"/>
    <w:rsid w:val="004C27B1"/>
    <w:rsid w:val="004F21FA"/>
    <w:rsid w:val="0053047C"/>
    <w:rsid w:val="00531CAE"/>
    <w:rsid w:val="00532B09"/>
    <w:rsid w:val="005A6947"/>
    <w:rsid w:val="005B7F90"/>
    <w:rsid w:val="005C1A64"/>
    <w:rsid w:val="005C3983"/>
    <w:rsid w:val="005D66E7"/>
    <w:rsid w:val="005E78A1"/>
    <w:rsid w:val="005F1F95"/>
    <w:rsid w:val="006161C5"/>
    <w:rsid w:val="0063212C"/>
    <w:rsid w:val="006442C1"/>
    <w:rsid w:val="00664F27"/>
    <w:rsid w:val="00665453"/>
    <w:rsid w:val="006B6071"/>
    <w:rsid w:val="00700BB6"/>
    <w:rsid w:val="0071376A"/>
    <w:rsid w:val="00723DEC"/>
    <w:rsid w:val="007247CC"/>
    <w:rsid w:val="00725A96"/>
    <w:rsid w:val="00736257"/>
    <w:rsid w:val="0076444C"/>
    <w:rsid w:val="007B08D6"/>
    <w:rsid w:val="007B64E3"/>
    <w:rsid w:val="007C7343"/>
    <w:rsid w:val="007E1DE8"/>
    <w:rsid w:val="007E7E8C"/>
    <w:rsid w:val="007F1BBA"/>
    <w:rsid w:val="007F58BD"/>
    <w:rsid w:val="00826C0A"/>
    <w:rsid w:val="00835F3F"/>
    <w:rsid w:val="00862FF4"/>
    <w:rsid w:val="00870BCF"/>
    <w:rsid w:val="008718D5"/>
    <w:rsid w:val="00871BFA"/>
    <w:rsid w:val="00875D1A"/>
    <w:rsid w:val="00883646"/>
    <w:rsid w:val="008863E5"/>
    <w:rsid w:val="008C6AB3"/>
    <w:rsid w:val="008D008F"/>
    <w:rsid w:val="008D50FC"/>
    <w:rsid w:val="008E1929"/>
    <w:rsid w:val="008E1A75"/>
    <w:rsid w:val="008E54E4"/>
    <w:rsid w:val="009210C7"/>
    <w:rsid w:val="00946331"/>
    <w:rsid w:val="009619EE"/>
    <w:rsid w:val="00987FE7"/>
    <w:rsid w:val="009C165B"/>
    <w:rsid w:val="009F3B25"/>
    <w:rsid w:val="00A00127"/>
    <w:rsid w:val="00A33E06"/>
    <w:rsid w:val="00A3522B"/>
    <w:rsid w:val="00A41C21"/>
    <w:rsid w:val="00A45598"/>
    <w:rsid w:val="00A510C8"/>
    <w:rsid w:val="00A67035"/>
    <w:rsid w:val="00A84119"/>
    <w:rsid w:val="00A90515"/>
    <w:rsid w:val="00AA5BDC"/>
    <w:rsid w:val="00AC30DA"/>
    <w:rsid w:val="00B255FF"/>
    <w:rsid w:val="00B26093"/>
    <w:rsid w:val="00B332E3"/>
    <w:rsid w:val="00B357EC"/>
    <w:rsid w:val="00B42601"/>
    <w:rsid w:val="00B4274F"/>
    <w:rsid w:val="00B61903"/>
    <w:rsid w:val="00B66305"/>
    <w:rsid w:val="00B678A7"/>
    <w:rsid w:val="00B77761"/>
    <w:rsid w:val="00BA4133"/>
    <w:rsid w:val="00BC0A6A"/>
    <w:rsid w:val="00BC77BE"/>
    <w:rsid w:val="00BD1839"/>
    <w:rsid w:val="00BF0CCD"/>
    <w:rsid w:val="00C05A5C"/>
    <w:rsid w:val="00C065BD"/>
    <w:rsid w:val="00C35F84"/>
    <w:rsid w:val="00C522C5"/>
    <w:rsid w:val="00C57391"/>
    <w:rsid w:val="00CA4E7F"/>
    <w:rsid w:val="00CD0DC8"/>
    <w:rsid w:val="00CD383A"/>
    <w:rsid w:val="00CE5DE0"/>
    <w:rsid w:val="00D01FF5"/>
    <w:rsid w:val="00D02628"/>
    <w:rsid w:val="00D07A59"/>
    <w:rsid w:val="00D113AE"/>
    <w:rsid w:val="00D17C10"/>
    <w:rsid w:val="00DC3195"/>
    <w:rsid w:val="00DF15BC"/>
    <w:rsid w:val="00E0177D"/>
    <w:rsid w:val="00E037FB"/>
    <w:rsid w:val="00E37720"/>
    <w:rsid w:val="00E43BF1"/>
    <w:rsid w:val="00E605DD"/>
    <w:rsid w:val="00E70CBB"/>
    <w:rsid w:val="00E7626F"/>
    <w:rsid w:val="00E76774"/>
    <w:rsid w:val="00E95DE3"/>
    <w:rsid w:val="00EB23DD"/>
    <w:rsid w:val="00EC450E"/>
    <w:rsid w:val="00EC77EE"/>
    <w:rsid w:val="00ED0522"/>
    <w:rsid w:val="00ED234A"/>
    <w:rsid w:val="00EF2455"/>
    <w:rsid w:val="00F36288"/>
    <w:rsid w:val="00F40301"/>
    <w:rsid w:val="00F443FE"/>
    <w:rsid w:val="00F62FE5"/>
    <w:rsid w:val="00F86379"/>
    <w:rsid w:val="00FA4955"/>
    <w:rsid w:val="00FB0008"/>
    <w:rsid w:val="00FE14FB"/>
    <w:rsid w:val="00FF1DCE"/>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71BFA"/>
    <w:rPr>
      <w:rFonts w:ascii="Arial" w:hAnsi="Arial"/>
      <w:sz w:val="22"/>
      <w:szCs w:val="24"/>
    </w:rPr>
  </w:style>
  <w:style w:type="paragraph" w:styleId="Heading1">
    <w:name w:val="heading 1"/>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link w:val="Heading5Char"/>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Heading5Char">
    <w:name w:val="Heading 5 Char"/>
    <w:basedOn w:val="DefaultParagraphFont"/>
    <w:link w:val="Heading5"/>
    <w:rsid w:val="008E1A75"/>
    <w:rPr>
      <w:rFonts w:ascii="Arial" w:hAnsi="Arial"/>
      <w:bCs/>
      <w:iCs/>
      <w:sz w:val="22"/>
      <w:szCs w:val="26"/>
    </w:rPr>
  </w:style>
  <w:style w:type="table" w:styleId="TableGrid">
    <w:name w:val="Table Grid"/>
    <w:basedOn w:val="TableNormal"/>
    <w:rsid w:val="007C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C7343"/>
    <w:rPr>
      <w:rFonts w:ascii="Arial" w:hAnsi="Arial"/>
      <w:sz w:val="22"/>
      <w:szCs w:val="24"/>
    </w:rPr>
  </w:style>
  <w:style w:type="paragraph" w:styleId="BalloonText">
    <w:name w:val="Balloon Text"/>
    <w:basedOn w:val="Normal"/>
    <w:link w:val="BalloonTextChar"/>
    <w:semiHidden/>
    <w:unhideWhenUsed/>
    <w:rsid w:val="001820F9"/>
    <w:rPr>
      <w:rFonts w:ascii="Tahoma" w:hAnsi="Tahoma" w:cs="Tahoma"/>
      <w:sz w:val="16"/>
      <w:szCs w:val="16"/>
    </w:rPr>
  </w:style>
  <w:style w:type="character" w:customStyle="1" w:styleId="BalloonTextChar">
    <w:name w:val="Balloon Text Char"/>
    <w:basedOn w:val="DefaultParagraphFont"/>
    <w:link w:val="BalloonText"/>
    <w:semiHidden/>
    <w:rsid w:val="001820F9"/>
    <w:rPr>
      <w:rFonts w:ascii="Tahoma" w:hAnsi="Tahoma" w:cs="Tahoma"/>
      <w:sz w:val="16"/>
      <w:szCs w:val="16"/>
    </w:rPr>
  </w:style>
  <w:style w:type="paragraph" w:styleId="ListParagraph">
    <w:name w:val="List Paragraph"/>
    <w:basedOn w:val="Normal"/>
    <w:uiPriority w:val="34"/>
    <w:qFormat/>
    <w:rsid w:val="0017073F"/>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826C0A"/>
    <w:rPr>
      <w:sz w:val="16"/>
      <w:szCs w:val="16"/>
    </w:rPr>
  </w:style>
  <w:style w:type="paragraph" w:styleId="CommentText">
    <w:name w:val="annotation text"/>
    <w:basedOn w:val="Normal"/>
    <w:link w:val="CommentTextChar"/>
    <w:semiHidden/>
    <w:unhideWhenUsed/>
    <w:rsid w:val="00826C0A"/>
    <w:rPr>
      <w:sz w:val="20"/>
      <w:szCs w:val="20"/>
    </w:rPr>
  </w:style>
  <w:style w:type="character" w:customStyle="1" w:styleId="CommentTextChar">
    <w:name w:val="Comment Text Char"/>
    <w:basedOn w:val="DefaultParagraphFont"/>
    <w:link w:val="CommentText"/>
    <w:semiHidden/>
    <w:rsid w:val="00826C0A"/>
    <w:rPr>
      <w:rFonts w:ascii="Arial" w:hAnsi="Arial"/>
    </w:rPr>
  </w:style>
  <w:style w:type="paragraph" w:styleId="CommentSubject">
    <w:name w:val="annotation subject"/>
    <w:basedOn w:val="CommentText"/>
    <w:next w:val="CommentText"/>
    <w:link w:val="CommentSubjectChar"/>
    <w:semiHidden/>
    <w:unhideWhenUsed/>
    <w:rsid w:val="00826C0A"/>
    <w:rPr>
      <w:b/>
      <w:bCs/>
    </w:rPr>
  </w:style>
  <w:style w:type="character" w:customStyle="1" w:styleId="CommentSubjectChar">
    <w:name w:val="Comment Subject Char"/>
    <w:basedOn w:val="CommentTextChar"/>
    <w:link w:val="CommentSubject"/>
    <w:semiHidden/>
    <w:rsid w:val="00826C0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71BFA"/>
    <w:rPr>
      <w:rFonts w:ascii="Arial" w:hAnsi="Arial"/>
      <w:sz w:val="22"/>
      <w:szCs w:val="24"/>
    </w:rPr>
  </w:style>
  <w:style w:type="paragraph" w:styleId="Heading1">
    <w:name w:val="heading 1"/>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link w:val="Heading5Char"/>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Heading5Char">
    <w:name w:val="Heading 5 Char"/>
    <w:basedOn w:val="DefaultParagraphFont"/>
    <w:link w:val="Heading5"/>
    <w:rsid w:val="008E1A75"/>
    <w:rPr>
      <w:rFonts w:ascii="Arial" w:hAnsi="Arial"/>
      <w:bCs/>
      <w:iCs/>
      <w:sz w:val="22"/>
      <w:szCs w:val="26"/>
    </w:rPr>
  </w:style>
  <w:style w:type="table" w:styleId="TableGrid">
    <w:name w:val="Table Grid"/>
    <w:basedOn w:val="TableNormal"/>
    <w:rsid w:val="007C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C7343"/>
    <w:rPr>
      <w:rFonts w:ascii="Arial" w:hAnsi="Arial"/>
      <w:sz w:val="22"/>
      <w:szCs w:val="24"/>
    </w:rPr>
  </w:style>
  <w:style w:type="paragraph" w:styleId="BalloonText">
    <w:name w:val="Balloon Text"/>
    <w:basedOn w:val="Normal"/>
    <w:link w:val="BalloonTextChar"/>
    <w:semiHidden/>
    <w:unhideWhenUsed/>
    <w:rsid w:val="001820F9"/>
    <w:rPr>
      <w:rFonts w:ascii="Tahoma" w:hAnsi="Tahoma" w:cs="Tahoma"/>
      <w:sz w:val="16"/>
      <w:szCs w:val="16"/>
    </w:rPr>
  </w:style>
  <w:style w:type="character" w:customStyle="1" w:styleId="BalloonTextChar">
    <w:name w:val="Balloon Text Char"/>
    <w:basedOn w:val="DefaultParagraphFont"/>
    <w:link w:val="BalloonText"/>
    <w:semiHidden/>
    <w:rsid w:val="001820F9"/>
    <w:rPr>
      <w:rFonts w:ascii="Tahoma" w:hAnsi="Tahoma" w:cs="Tahoma"/>
      <w:sz w:val="16"/>
      <w:szCs w:val="16"/>
    </w:rPr>
  </w:style>
  <w:style w:type="paragraph" w:styleId="ListParagraph">
    <w:name w:val="List Paragraph"/>
    <w:basedOn w:val="Normal"/>
    <w:uiPriority w:val="34"/>
    <w:qFormat/>
    <w:rsid w:val="0017073F"/>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semiHidden/>
    <w:unhideWhenUsed/>
    <w:rsid w:val="00826C0A"/>
    <w:rPr>
      <w:sz w:val="16"/>
      <w:szCs w:val="16"/>
    </w:rPr>
  </w:style>
  <w:style w:type="paragraph" w:styleId="CommentText">
    <w:name w:val="annotation text"/>
    <w:basedOn w:val="Normal"/>
    <w:link w:val="CommentTextChar"/>
    <w:semiHidden/>
    <w:unhideWhenUsed/>
    <w:rsid w:val="00826C0A"/>
    <w:rPr>
      <w:sz w:val="20"/>
      <w:szCs w:val="20"/>
    </w:rPr>
  </w:style>
  <w:style w:type="character" w:customStyle="1" w:styleId="CommentTextChar">
    <w:name w:val="Comment Text Char"/>
    <w:basedOn w:val="DefaultParagraphFont"/>
    <w:link w:val="CommentText"/>
    <w:semiHidden/>
    <w:rsid w:val="00826C0A"/>
    <w:rPr>
      <w:rFonts w:ascii="Arial" w:hAnsi="Arial"/>
    </w:rPr>
  </w:style>
  <w:style w:type="paragraph" w:styleId="CommentSubject">
    <w:name w:val="annotation subject"/>
    <w:basedOn w:val="CommentText"/>
    <w:next w:val="CommentText"/>
    <w:link w:val="CommentSubjectChar"/>
    <w:semiHidden/>
    <w:unhideWhenUsed/>
    <w:rsid w:val="00826C0A"/>
    <w:rPr>
      <w:b/>
      <w:bCs/>
    </w:rPr>
  </w:style>
  <w:style w:type="character" w:customStyle="1" w:styleId="CommentSubjectChar">
    <w:name w:val="Comment Subject Char"/>
    <w:basedOn w:val="CommentTextChar"/>
    <w:link w:val="CommentSubject"/>
    <w:semiHidden/>
    <w:rsid w:val="00826C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672F-B7EA-4862-9A2D-B88B344E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Anna Moore</dc:creator>
  <cp:lastModifiedBy>Bronwyn Edinger</cp:lastModifiedBy>
  <cp:revision>2</cp:revision>
  <cp:lastPrinted>2018-04-03T01:16:00Z</cp:lastPrinted>
  <dcterms:created xsi:type="dcterms:W3CDTF">2018-06-27T01:17:00Z</dcterms:created>
  <dcterms:modified xsi:type="dcterms:W3CDTF">2018-06-27T01:17:00Z</dcterms:modified>
</cp:coreProperties>
</file>