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3E" w:rsidRDefault="00D03B3E" w:rsidP="00D03B3E">
      <w:pPr>
        <w:pStyle w:val="BodyText"/>
        <w:rPr>
          <w:b/>
        </w:rPr>
      </w:pPr>
      <w:bookmarkStart w:id="0" w:name="_GoBack"/>
      <w:bookmarkEnd w:id="0"/>
      <w:r w:rsidRPr="005F247E">
        <w:rPr>
          <w:b/>
        </w:rPr>
        <w:t>Summary of Waste Amendments</w:t>
      </w:r>
    </w:p>
    <w:p w:rsidR="004E0115" w:rsidRDefault="004E0115" w:rsidP="00D03B3E">
      <w:pPr>
        <w:pStyle w:val="BodyText"/>
        <w:rPr>
          <w:b/>
        </w:rPr>
      </w:pPr>
    </w:p>
    <w:p w:rsidR="00D03B3E" w:rsidRPr="00E26AB1" w:rsidRDefault="00D03B3E" w:rsidP="00D03B3E">
      <w:pPr>
        <w:pStyle w:val="BodyText"/>
        <w:rPr>
          <w:b/>
        </w:rPr>
      </w:pPr>
      <w:r>
        <w:rPr>
          <w:b/>
        </w:rPr>
        <w:t>Development Control Plan Amendments:</w:t>
      </w:r>
    </w:p>
    <w:p w:rsidR="00D03B3E" w:rsidRDefault="00D23385" w:rsidP="001459F8">
      <w:pPr>
        <w:pStyle w:val="BodyText"/>
        <w:numPr>
          <w:ilvl w:val="0"/>
          <w:numId w:val="40"/>
        </w:numPr>
      </w:pPr>
      <w:r>
        <w:t>Insert</w:t>
      </w:r>
      <w:r w:rsidR="00D03B3E">
        <w:t xml:space="preserve"> </w:t>
      </w:r>
      <w:r w:rsidR="001459F8">
        <w:t>into Manly DCP 2013, Pittwater DCP 2014 and Warringah DCP 2000 (</w:t>
      </w:r>
      <w:r w:rsidR="002F17A2">
        <w:t xml:space="preserve">already </w:t>
      </w:r>
      <w:r w:rsidR="001459F8">
        <w:t xml:space="preserve">existing </w:t>
      </w:r>
      <w:r w:rsidR="002F17A2">
        <w:t xml:space="preserve">in </w:t>
      </w:r>
      <w:r w:rsidR="00D03B3E">
        <w:t>Warringah DCP 2011</w:t>
      </w:r>
      <w:r w:rsidR="002F17A2">
        <w:t>)</w:t>
      </w:r>
      <w:r w:rsidR="00D03B3E">
        <w:t xml:space="preserve"> </w:t>
      </w:r>
      <w:r w:rsidR="002F17A2">
        <w:t>as follows</w:t>
      </w:r>
      <w:r w:rsidR="00D03B3E">
        <w:t xml:space="preserve">: </w:t>
      </w:r>
    </w:p>
    <w:p w:rsidR="00D03B3E" w:rsidRDefault="00D03B3E" w:rsidP="00D03B3E">
      <w:pPr>
        <w:pStyle w:val="BodyText"/>
        <w:ind w:left="1134"/>
      </w:pPr>
      <w:r w:rsidRPr="007812BD">
        <w:rPr>
          <w:i/>
        </w:rPr>
        <w:t>‘All development that is, or includes, demolition and/or construction, must comply with the appropriate sections of the Waste Management Guidelines and all relevant Development Applications must be accompanied by a Waste Management Plan’</w:t>
      </w:r>
      <w:r>
        <w:t xml:space="preserve"> </w:t>
      </w:r>
    </w:p>
    <w:p w:rsidR="002F17A2" w:rsidRDefault="002F17A2" w:rsidP="002F17A2">
      <w:pPr>
        <w:pStyle w:val="BodyText"/>
        <w:numPr>
          <w:ilvl w:val="0"/>
          <w:numId w:val="40"/>
        </w:numPr>
      </w:pPr>
      <w:r>
        <w:t>Redraft DCP Objectives in relation to waste in a manner that incorporates aspects of existing DCP Objectives across all of Northern Beaches DCPs.</w:t>
      </w:r>
    </w:p>
    <w:p w:rsidR="00D03B3E" w:rsidRDefault="00D03B3E" w:rsidP="002F17A2">
      <w:pPr>
        <w:pStyle w:val="BodyText"/>
        <w:numPr>
          <w:ilvl w:val="0"/>
          <w:numId w:val="40"/>
        </w:numPr>
      </w:pPr>
      <w:r>
        <w:t xml:space="preserve">Omit various provisions in the Manly and Pittwater DCPs </w:t>
      </w:r>
      <w:r w:rsidR="002F17A2">
        <w:t>and move these provisions into</w:t>
      </w:r>
      <w:r>
        <w:t xml:space="preserve"> the </w:t>
      </w:r>
      <w:r w:rsidR="002F17A2">
        <w:t xml:space="preserve">Northern Beaches Waste Management Guidelines </w:t>
      </w:r>
      <w:r>
        <w:t xml:space="preserve">including the </w:t>
      </w:r>
      <w:r w:rsidR="00D23385">
        <w:t>requirements</w:t>
      </w:r>
      <w:r w:rsidR="002F17A2">
        <w:t xml:space="preserve"> from the Manly DCP as follows:</w:t>
      </w:r>
    </w:p>
    <w:p w:rsidR="00D03B3E" w:rsidRDefault="00D03B3E" w:rsidP="001459F8">
      <w:pPr>
        <w:pStyle w:val="BodyText"/>
        <w:numPr>
          <w:ilvl w:val="0"/>
          <w:numId w:val="41"/>
        </w:numPr>
      </w:pPr>
      <w:r>
        <w:t>The storage of waste,</w:t>
      </w:r>
      <w:r w:rsidRPr="00056CF7">
        <w:t xml:space="preserve"> demolition or construction materials </w:t>
      </w:r>
      <w:r>
        <w:t>on f</w:t>
      </w:r>
      <w:r w:rsidRPr="00056CF7">
        <w:t xml:space="preserve">ootpaths, public reserves, street gutters are not </w:t>
      </w:r>
      <w:r>
        <w:t>allowed</w:t>
      </w:r>
      <w:r w:rsidRPr="00056CF7">
        <w:t xml:space="preserve"> without Council approval</w:t>
      </w:r>
      <w:r w:rsidR="00D23385">
        <w:t>.</w:t>
      </w:r>
    </w:p>
    <w:p w:rsidR="00D03B3E" w:rsidRDefault="00D03B3E" w:rsidP="001459F8">
      <w:pPr>
        <w:pStyle w:val="BodyText"/>
        <w:numPr>
          <w:ilvl w:val="0"/>
          <w:numId w:val="41"/>
        </w:numPr>
      </w:pPr>
      <w:r w:rsidRPr="00056CF7">
        <w:t xml:space="preserve">Waste Storage Areas </w:t>
      </w:r>
      <w:r>
        <w:t>are to be architecturally designed to reflect the design style of the proposed / existing building and not detract from the visual amenity and streetscape character in the immediate vicinity and to be screened from the street frontage in a manner that improves the streets</w:t>
      </w:r>
      <w:r w:rsidR="00D23385">
        <w:t>cape appearance of the facility.</w:t>
      </w:r>
    </w:p>
    <w:p w:rsidR="00D03B3E" w:rsidRDefault="00D03B3E" w:rsidP="001459F8">
      <w:pPr>
        <w:pStyle w:val="BodyText"/>
        <w:numPr>
          <w:ilvl w:val="0"/>
          <w:numId w:val="41"/>
        </w:numPr>
      </w:pPr>
      <w:r>
        <w:t xml:space="preserve">Waste Storage Areas are </w:t>
      </w:r>
      <w:r w:rsidRPr="00056CF7">
        <w:t xml:space="preserve">not </w:t>
      </w:r>
      <w:r w:rsidR="00D23385">
        <w:t xml:space="preserve">to be </w:t>
      </w:r>
      <w:r w:rsidRPr="00056CF7">
        <w:t>placed on any leased or Council</w:t>
      </w:r>
      <w:r>
        <w:t xml:space="preserve"> land</w:t>
      </w:r>
      <w:r w:rsidR="00D23385">
        <w:t>.</w:t>
      </w:r>
    </w:p>
    <w:p w:rsidR="002F17A2" w:rsidRDefault="00D03B3E" w:rsidP="002F17A2">
      <w:pPr>
        <w:pStyle w:val="BodyText"/>
        <w:numPr>
          <w:ilvl w:val="0"/>
          <w:numId w:val="41"/>
        </w:numPr>
      </w:pPr>
      <w:r w:rsidRPr="00056CF7">
        <w:t>Council encourages non-residential premises to apply waste minimisation principles and adhere to Council’s Single Use Plastic policy, where applicable.  Council may request evidences from business operators that recycling is occurring onsite and considering alternatives to plastic bags for the purposes of carrying it</w:t>
      </w:r>
      <w:r>
        <w:t xml:space="preserve">ems purchased from the premises. </w:t>
      </w:r>
      <w:r w:rsidR="00D23385">
        <w:t>(</w:t>
      </w:r>
      <w:r>
        <w:t>This guidance updates existing provisions in the Manly DCP that conditions of Development Consent may limit the use of plastics.</w:t>
      </w:r>
      <w:r w:rsidR="00D23385">
        <w:t>)</w:t>
      </w:r>
      <w:r>
        <w:t xml:space="preserve"> </w:t>
      </w:r>
    </w:p>
    <w:p w:rsidR="00D03B3E" w:rsidRDefault="00D03B3E" w:rsidP="00D03B3E">
      <w:pPr>
        <w:rPr>
          <w:rFonts w:eastAsiaTheme="minorHAnsi" w:cs="Arial"/>
          <w:b/>
          <w:szCs w:val="22"/>
          <w:lang w:eastAsia="en-US"/>
        </w:rPr>
      </w:pPr>
    </w:p>
    <w:p w:rsidR="00D03B3E" w:rsidRDefault="00D03B3E" w:rsidP="00D03B3E">
      <w:pPr>
        <w:rPr>
          <w:rFonts w:eastAsiaTheme="minorHAnsi" w:cs="Arial"/>
          <w:b/>
          <w:szCs w:val="22"/>
          <w:lang w:eastAsia="en-US"/>
        </w:rPr>
      </w:pPr>
      <w:r>
        <w:rPr>
          <w:rFonts w:eastAsiaTheme="minorHAnsi" w:cs="Arial"/>
          <w:b/>
          <w:szCs w:val="22"/>
          <w:lang w:eastAsia="en-US"/>
        </w:rPr>
        <w:t xml:space="preserve">Waste Management Guidelines </w:t>
      </w:r>
      <w:r w:rsidRPr="00700DC7">
        <w:rPr>
          <w:rFonts w:eastAsiaTheme="minorHAnsi" w:cs="Arial"/>
          <w:b/>
          <w:szCs w:val="22"/>
          <w:lang w:eastAsia="en-US"/>
        </w:rPr>
        <w:t xml:space="preserve">and Waste Management Plan </w:t>
      </w:r>
      <w:r>
        <w:rPr>
          <w:rFonts w:eastAsiaTheme="minorHAnsi" w:cs="Arial"/>
          <w:b/>
          <w:szCs w:val="22"/>
          <w:lang w:eastAsia="en-US"/>
        </w:rPr>
        <w:t>Amendments:</w:t>
      </w:r>
    </w:p>
    <w:p w:rsidR="00D03B3E" w:rsidRDefault="00D03B3E" w:rsidP="00D03B3E">
      <w:pPr>
        <w:rPr>
          <w:rFonts w:eastAsiaTheme="minorHAnsi" w:cs="Arial"/>
          <w:b/>
          <w:szCs w:val="22"/>
          <w:lang w:eastAsia="en-US"/>
        </w:rPr>
      </w:pPr>
    </w:p>
    <w:p w:rsidR="00D03B3E" w:rsidRDefault="00D03B3E" w:rsidP="00D03B3E">
      <w:pPr>
        <w:rPr>
          <w:rFonts w:eastAsiaTheme="minorHAnsi" w:cs="Arial"/>
          <w:szCs w:val="22"/>
          <w:lang w:eastAsia="en-US"/>
        </w:rPr>
      </w:pPr>
      <w:r>
        <w:rPr>
          <w:rFonts w:eastAsiaTheme="minorHAnsi" w:cs="Arial"/>
          <w:szCs w:val="22"/>
          <w:lang w:eastAsia="en-US"/>
        </w:rPr>
        <w:t xml:space="preserve">In general, (for both the </w:t>
      </w:r>
      <w:r w:rsidRPr="0096386E">
        <w:rPr>
          <w:rFonts w:eastAsiaTheme="minorHAnsi" w:cs="Arial"/>
          <w:szCs w:val="22"/>
          <w:lang w:eastAsia="en-US"/>
        </w:rPr>
        <w:t xml:space="preserve">Waste Management Guidelines and Waste Management Plan): </w:t>
      </w:r>
    </w:p>
    <w:p w:rsidR="00D03B3E" w:rsidRDefault="00D03B3E" w:rsidP="00D03B3E">
      <w:pPr>
        <w:pStyle w:val="ListParagraph"/>
        <w:numPr>
          <w:ilvl w:val="0"/>
          <w:numId w:val="37"/>
        </w:numPr>
        <w:rPr>
          <w:rFonts w:eastAsiaTheme="minorHAnsi" w:cs="Arial"/>
          <w:szCs w:val="22"/>
          <w:lang w:eastAsia="en-US"/>
        </w:rPr>
      </w:pPr>
      <w:r w:rsidRPr="00E24B5C">
        <w:rPr>
          <w:rFonts w:eastAsiaTheme="minorHAnsi" w:cs="Arial"/>
          <w:szCs w:val="22"/>
          <w:lang w:eastAsia="en-US"/>
        </w:rPr>
        <w:t>Replace all references throughout the documents which refer to ‘</w:t>
      </w:r>
      <w:r w:rsidRPr="00E24B5C">
        <w:rPr>
          <w:rFonts w:eastAsiaTheme="minorHAnsi" w:cs="Arial"/>
          <w:i/>
          <w:szCs w:val="22"/>
          <w:lang w:eastAsia="en-US"/>
        </w:rPr>
        <w:t>Warringah</w:t>
      </w:r>
      <w:r w:rsidRPr="00E24B5C">
        <w:rPr>
          <w:rFonts w:eastAsiaTheme="minorHAnsi" w:cs="Arial"/>
          <w:szCs w:val="22"/>
          <w:lang w:eastAsia="en-US"/>
        </w:rPr>
        <w:t xml:space="preserve">’ Waste Management </w:t>
      </w:r>
      <w:r>
        <w:rPr>
          <w:rFonts w:eastAsiaTheme="minorHAnsi" w:cs="Arial"/>
          <w:szCs w:val="22"/>
          <w:lang w:eastAsia="en-US"/>
        </w:rPr>
        <w:t>Guidelines/</w:t>
      </w:r>
      <w:r w:rsidRPr="00E24B5C">
        <w:rPr>
          <w:rFonts w:eastAsiaTheme="minorHAnsi" w:cs="Arial"/>
          <w:szCs w:val="22"/>
          <w:lang w:eastAsia="en-US"/>
        </w:rPr>
        <w:t>Plan with ‘</w:t>
      </w:r>
      <w:r w:rsidRPr="00E24B5C">
        <w:rPr>
          <w:rFonts w:eastAsiaTheme="minorHAnsi" w:cs="Arial"/>
          <w:i/>
          <w:szCs w:val="22"/>
          <w:lang w:eastAsia="en-US"/>
        </w:rPr>
        <w:t>Northern Beaches’</w:t>
      </w:r>
      <w:r w:rsidRPr="00E24B5C">
        <w:rPr>
          <w:rFonts w:eastAsiaTheme="minorHAnsi" w:cs="Arial"/>
          <w:szCs w:val="22"/>
          <w:lang w:eastAsia="en-US"/>
        </w:rPr>
        <w:t xml:space="preserve"> Waste Management </w:t>
      </w:r>
      <w:r>
        <w:rPr>
          <w:rFonts w:eastAsiaTheme="minorHAnsi" w:cs="Arial"/>
          <w:szCs w:val="22"/>
          <w:lang w:eastAsia="en-US"/>
        </w:rPr>
        <w:t>Guidelines/</w:t>
      </w:r>
      <w:r w:rsidRPr="00E24B5C">
        <w:rPr>
          <w:rFonts w:eastAsiaTheme="minorHAnsi" w:cs="Arial"/>
          <w:szCs w:val="22"/>
          <w:lang w:eastAsia="en-US"/>
        </w:rPr>
        <w:t>Plan</w:t>
      </w:r>
    </w:p>
    <w:p w:rsidR="00D03B3E" w:rsidRPr="00E24B5C" w:rsidRDefault="00D03B3E" w:rsidP="00D03B3E">
      <w:pPr>
        <w:pStyle w:val="ListParagraph"/>
        <w:numPr>
          <w:ilvl w:val="0"/>
          <w:numId w:val="37"/>
        </w:numPr>
        <w:rPr>
          <w:rFonts w:eastAsiaTheme="minorHAnsi" w:cs="Arial"/>
          <w:szCs w:val="22"/>
          <w:lang w:eastAsia="en-US"/>
        </w:rPr>
      </w:pPr>
      <w:r>
        <w:rPr>
          <w:rFonts w:eastAsiaTheme="minorHAnsi" w:cs="Arial"/>
          <w:szCs w:val="22"/>
          <w:lang w:eastAsia="en-US"/>
        </w:rPr>
        <w:t>O</w:t>
      </w:r>
      <w:r w:rsidRPr="00E24B5C">
        <w:rPr>
          <w:rFonts w:eastAsiaTheme="minorHAnsi" w:cs="Arial"/>
          <w:szCs w:val="22"/>
          <w:lang w:eastAsia="en-US"/>
        </w:rPr>
        <w:t xml:space="preserve">mit all references throughout the </w:t>
      </w:r>
      <w:r>
        <w:rPr>
          <w:rFonts w:eastAsiaTheme="minorHAnsi" w:cs="Arial"/>
          <w:szCs w:val="22"/>
          <w:lang w:eastAsia="en-US"/>
        </w:rPr>
        <w:t xml:space="preserve">documents to </w:t>
      </w:r>
      <w:r w:rsidRPr="00E24B5C">
        <w:rPr>
          <w:rFonts w:eastAsiaTheme="minorHAnsi" w:cs="Arial"/>
          <w:szCs w:val="22"/>
          <w:lang w:eastAsia="en-US"/>
        </w:rPr>
        <w:t>the following:</w:t>
      </w:r>
    </w:p>
    <w:p w:rsidR="00D03B3E" w:rsidRDefault="00D03B3E" w:rsidP="00D03B3E">
      <w:pPr>
        <w:pStyle w:val="ListParagraph"/>
        <w:ind w:left="1440"/>
        <w:rPr>
          <w:rFonts w:eastAsiaTheme="minorHAnsi" w:cs="Arial"/>
          <w:i/>
          <w:szCs w:val="22"/>
          <w:lang w:eastAsia="en-US"/>
        </w:rPr>
      </w:pPr>
      <w:r w:rsidRPr="00E24B5C">
        <w:rPr>
          <w:rFonts w:eastAsiaTheme="minorHAnsi" w:cs="Arial"/>
          <w:i/>
          <w:szCs w:val="22"/>
          <w:lang w:eastAsia="en-US"/>
        </w:rPr>
        <w:t>‘For development in the area of WLEP 2011 and WLEP 2000’</w:t>
      </w:r>
    </w:p>
    <w:p w:rsidR="003F7360" w:rsidRPr="003F7360" w:rsidRDefault="003F7360" w:rsidP="003F7360">
      <w:pPr>
        <w:pStyle w:val="ListParagraph"/>
        <w:ind w:left="567"/>
        <w:rPr>
          <w:rFonts w:eastAsiaTheme="minorHAnsi" w:cs="Arial"/>
          <w:szCs w:val="22"/>
          <w:lang w:eastAsia="en-US"/>
        </w:rPr>
      </w:pPr>
      <w:r>
        <w:rPr>
          <w:rFonts w:eastAsiaTheme="minorHAnsi" w:cs="Arial"/>
          <w:szCs w:val="22"/>
          <w:lang w:eastAsia="en-US"/>
        </w:rPr>
        <w:t xml:space="preserve">  </w:t>
      </w:r>
      <w:proofErr w:type="gramStart"/>
      <w:r w:rsidRPr="003F7360">
        <w:rPr>
          <w:rFonts w:eastAsiaTheme="minorHAnsi" w:cs="Arial"/>
          <w:szCs w:val="22"/>
          <w:lang w:eastAsia="en-US"/>
        </w:rPr>
        <w:t>and</w:t>
      </w:r>
      <w:proofErr w:type="gramEnd"/>
      <w:r w:rsidRPr="003F7360">
        <w:rPr>
          <w:rFonts w:eastAsiaTheme="minorHAnsi" w:cs="Arial"/>
          <w:szCs w:val="22"/>
          <w:lang w:eastAsia="en-US"/>
        </w:rPr>
        <w:t xml:space="preserve"> refer</w:t>
      </w:r>
      <w:r>
        <w:rPr>
          <w:rFonts w:eastAsiaTheme="minorHAnsi" w:cs="Arial"/>
          <w:szCs w:val="22"/>
          <w:lang w:eastAsia="en-US"/>
        </w:rPr>
        <w:t xml:space="preserve"> instead</w:t>
      </w:r>
      <w:r w:rsidRPr="003F7360">
        <w:rPr>
          <w:rFonts w:eastAsiaTheme="minorHAnsi" w:cs="Arial"/>
          <w:szCs w:val="22"/>
          <w:lang w:eastAsia="en-US"/>
        </w:rPr>
        <w:t xml:space="preserve"> to the area of the North Beaches</w:t>
      </w:r>
      <w:r>
        <w:rPr>
          <w:rFonts w:eastAsiaTheme="minorHAnsi" w:cs="Arial"/>
          <w:szCs w:val="22"/>
          <w:lang w:eastAsia="en-US"/>
        </w:rPr>
        <w:t>.</w:t>
      </w:r>
      <w:r w:rsidRPr="003F7360">
        <w:rPr>
          <w:rFonts w:eastAsiaTheme="minorHAnsi" w:cs="Arial"/>
          <w:szCs w:val="22"/>
          <w:lang w:eastAsia="en-US"/>
        </w:rPr>
        <w:t xml:space="preserve"> </w:t>
      </w:r>
    </w:p>
    <w:p w:rsidR="00D03B3E" w:rsidRDefault="003F7360" w:rsidP="00D03B3E">
      <w:pPr>
        <w:rPr>
          <w:rFonts w:eastAsiaTheme="minorHAnsi" w:cs="Arial"/>
          <w:szCs w:val="22"/>
          <w:lang w:eastAsia="en-US"/>
        </w:rPr>
      </w:pPr>
      <w:r>
        <w:rPr>
          <w:rFonts w:eastAsiaTheme="minorHAnsi" w:cs="Arial"/>
          <w:szCs w:val="22"/>
          <w:lang w:eastAsia="en-US"/>
        </w:rPr>
        <w:tab/>
      </w:r>
      <w:r>
        <w:rPr>
          <w:rFonts w:eastAsiaTheme="minorHAnsi" w:cs="Arial"/>
          <w:szCs w:val="22"/>
          <w:lang w:eastAsia="en-US"/>
        </w:rPr>
        <w:tab/>
      </w:r>
    </w:p>
    <w:p w:rsidR="003F7360" w:rsidRDefault="003F7360" w:rsidP="00D03B3E">
      <w:pPr>
        <w:rPr>
          <w:rFonts w:eastAsiaTheme="minorHAnsi" w:cs="Arial"/>
          <w:szCs w:val="22"/>
          <w:lang w:eastAsia="en-US"/>
        </w:rPr>
      </w:pPr>
      <w:r>
        <w:rPr>
          <w:rFonts w:eastAsiaTheme="minorHAnsi" w:cs="Arial"/>
          <w:szCs w:val="22"/>
          <w:lang w:eastAsia="en-US"/>
        </w:rPr>
        <w:t>In detail the proposed amendments comprise the following:</w:t>
      </w:r>
    </w:p>
    <w:p w:rsidR="003F7360" w:rsidRDefault="003F7360" w:rsidP="00D03B3E">
      <w:pPr>
        <w:rPr>
          <w:rFonts w:eastAsiaTheme="minorHAnsi" w:cs="Arial"/>
          <w:szCs w:val="22"/>
          <w:lang w:eastAsia="en-US"/>
        </w:rPr>
      </w:pPr>
      <w:r>
        <w:rPr>
          <w:rFonts w:eastAsiaTheme="minorHAnsi" w:cs="Arial"/>
          <w:szCs w:val="22"/>
          <w:lang w:eastAsia="en-US"/>
        </w:rPr>
        <w:t xml:space="preserve"> </w:t>
      </w:r>
    </w:p>
    <w:tbl>
      <w:tblPr>
        <w:tblStyle w:val="TableGrid"/>
        <w:tblW w:w="0" w:type="auto"/>
        <w:tblLook w:val="04A0" w:firstRow="1" w:lastRow="0" w:firstColumn="1" w:lastColumn="0" w:noHBand="0" w:noVBand="1"/>
      </w:tblPr>
      <w:tblGrid>
        <w:gridCol w:w="3369"/>
        <w:gridCol w:w="6485"/>
      </w:tblGrid>
      <w:tr w:rsidR="003F7360" w:rsidTr="00E31A58">
        <w:tc>
          <w:tcPr>
            <w:tcW w:w="3369" w:type="dxa"/>
          </w:tcPr>
          <w:p w:rsidR="003F7360" w:rsidRDefault="00101E24" w:rsidP="00D03B3E">
            <w:pPr>
              <w:rPr>
                <w:rFonts w:eastAsiaTheme="minorHAnsi" w:cs="Arial"/>
                <w:szCs w:val="22"/>
                <w:lang w:eastAsia="en-US"/>
              </w:rPr>
            </w:pPr>
            <w:r>
              <w:rPr>
                <w:rFonts w:eastAsiaTheme="minorHAnsi" w:cs="Arial"/>
                <w:szCs w:val="22"/>
                <w:lang w:eastAsia="en-US"/>
              </w:rPr>
              <w:t>Introduction at P</w:t>
            </w:r>
            <w:r w:rsidRPr="00D45D5E">
              <w:rPr>
                <w:rFonts w:eastAsiaTheme="minorHAnsi" w:cs="Arial"/>
                <w:szCs w:val="22"/>
                <w:lang w:eastAsia="en-US"/>
              </w:rPr>
              <w:t>aragraph iii</w:t>
            </w:r>
            <w:r>
              <w:rPr>
                <w:rFonts w:eastAsiaTheme="minorHAnsi" w:cs="Arial"/>
                <w:szCs w:val="22"/>
                <w:lang w:eastAsia="en-US"/>
              </w:rPr>
              <w:t>.</w:t>
            </w:r>
            <w:r w:rsidRPr="00D45D5E">
              <w:rPr>
                <w:rFonts w:eastAsiaTheme="minorHAnsi" w:cs="Arial"/>
                <w:szCs w:val="22"/>
                <w:lang w:eastAsia="en-US"/>
              </w:rPr>
              <w:t xml:space="preserve"> </w:t>
            </w:r>
            <w:r>
              <w:rPr>
                <w:rFonts w:eastAsiaTheme="minorHAnsi" w:cs="Arial"/>
                <w:szCs w:val="22"/>
                <w:lang w:eastAsia="en-US"/>
              </w:rPr>
              <w:t xml:space="preserve">- </w:t>
            </w:r>
            <w:r>
              <w:t>Application and U</w:t>
            </w:r>
            <w:r w:rsidRPr="001753F3">
              <w:t>se of the Waste Management Guidelines</w:t>
            </w:r>
          </w:p>
        </w:tc>
        <w:tc>
          <w:tcPr>
            <w:tcW w:w="6485" w:type="dxa"/>
          </w:tcPr>
          <w:p w:rsidR="00101E24" w:rsidRPr="00D45D5E" w:rsidRDefault="00101E24" w:rsidP="00101E24">
            <w:pPr>
              <w:rPr>
                <w:rFonts w:eastAsiaTheme="minorHAnsi" w:cs="Arial"/>
                <w:szCs w:val="22"/>
                <w:lang w:eastAsia="en-US"/>
              </w:rPr>
            </w:pPr>
            <w:r w:rsidRPr="00D45D5E">
              <w:rPr>
                <w:rFonts w:eastAsiaTheme="minorHAnsi" w:cs="Arial"/>
                <w:szCs w:val="22"/>
                <w:lang w:eastAsia="en-US"/>
              </w:rPr>
              <w:t>insert the following:</w:t>
            </w:r>
          </w:p>
          <w:p w:rsidR="00101E24" w:rsidRPr="00D45D5E" w:rsidRDefault="00101E24" w:rsidP="00101E24">
            <w:pPr>
              <w:pStyle w:val="ListParagraph"/>
              <w:numPr>
                <w:ilvl w:val="0"/>
                <w:numId w:val="37"/>
              </w:numPr>
              <w:rPr>
                <w:rFonts w:eastAsiaTheme="minorHAnsi" w:cs="Arial"/>
                <w:i/>
                <w:szCs w:val="22"/>
                <w:lang w:eastAsia="en-US"/>
              </w:rPr>
            </w:pPr>
            <w:r w:rsidRPr="00D45D5E">
              <w:rPr>
                <w:rFonts w:eastAsiaTheme="minorHAnsi" w:cs="Arial"/>
                <w:i/>
                <w:szCs w:val="22"/>
                <w:lang w:eastAsia="en-US"/>
              </w:rPr>
              <w:t>Compliance with these Waste Management Guidelines is a requirement for all development that is, or includes, demolition and/or construction in accordance with Council’s 3 DCPs for Manly, Pittwater and Warringah.</w:t>
            </w:r>
          </w:p>
          <w:p w:rsidR="003F7360" w:rsidRDefault="003F7360" w:rsidP="00D03B3E">
            <w:pPr>
              <w:rPr>
                <w:rFonts w:eastAsiaTheme="minorHAnsi" w:cs="Arial"/>
                <w:szCs w:val="22"/>
                <w:lang w:eastAsia="en-US"/>
              </w:rPr>
            </w:pPr>
          </w:p>
        </w:tc>
      </w:tr>
      <w:tr w:rsidR="003F7360" w:rsidTr="00E31A58">
        <w:tc>
          <w:tcPr>
            <w:tcW w:w="3369" w:type="dxa"/>
          </w:tcPr>
          <w:p w:rsidR="003F7360" w:rsidRDefault="00101E24" w:rsidP="00D03B3E">
            <w:pPr>
              <w:rPr>
                <w:rFonts w:eastAsiaTheme="minorHAnsi" w:cs="Arial"/>
                <w:szCs w:val="22"/>
                <w:lang w:eastAsia="en-US"/>
              </w:rPr>
            </w:pPr>
            <w:r>
              <w:rPr>
                <w:rFonts w:eastAsiaTheme="minorHAnsi" w:cs="Arial"/>
                <w:szCs w:val="22"/>
                <w:lang w:eastAsia="en-US"/>
              </w:rPr>
              <w:t>Introduction at Paragraph x</w:t>
            </w:r>
            <w:r w:rsidRPr="00D45D5E">
              <w:rPr>
                <w:rFonts w:eastAsiaTheme="minorHAnsi" w:cs="Arial"/>
                <w:szCs w:val="22"/>
                <w:lang w:eastAsia="en-US"/>
              </w:rPr>
              <w:t>ii</w:t>
            </w:r>
            <w:r>
              <w:rPr>
                <w:rFonts w:eastAsiaTheme="minorHAnsi" w:cs="Arial"/>
                <w:szCs w:val="22"/>
                <w:lang w:eastAsia="en-US"/>
              </w:rPr>
              <w:t>.</w:t>
            </w:r>
            <w:r w:rsidRPr="00D45D5E">
              <w:rPr>
                <w:rFonts w:eastAsiaTheme="minorHAnsi" w:cs="Arial"/>
                <w:szCs w:val="22"/>
                <w:lang w:eastAsia="en-US"/>
              </w:rPr>
              <w:t xml:space="preserve"> </w:t>
            </w:r>
            <w:r>
              <w:rPr>
                <w:rFonts w:eastAsiaTheme="minorHAnsi" w:cs="Arial"/>
                <w:szCs w:val="22"/>
                <w:lang w:eastAsia="en-US"/>
              </w:rPr>
              <w:t xml:space="preserve">– </w:t>
            </w:r>
            <w:r>
              <w:t>Related</w:t>
            </w:r>
            <w:r w:rsidRPr="001753F3">
              <w:t xml:space="preserve"> </w:t>
            </w:r>
            <w:r>
              <w:t>Legislation</w:t>
            </w:r>
          </w:p>
        </w:tc>
        <w:tc>
          <w:tcPr>
            <w:tcW w:w="6485" w:type="dxa"/>
          </w:tcPr>
          <w:p w:rsidR="00101E24" w:rsidRDefault="00101E24" w:rsidP="00101E24">
            <w:pPr>
              <w:rPr>
                <w:rFonts w:eastAsiaTheme="minorHAnsi" w:cs="Arial"/>
                <w:szCs w:val="22"/>
                <w:lang w:eastAsia="en-US"/>
              </w:rPr>
            </w:pPr>
            <w:r w:rsidRPr="00D45D5E">
              <w:rPr>
                <w:rFonts w:eastAsiaTheme="minorHAnsi" w:cs="Arial"/>
                <w:szCs w:val="22"/>
                <w:lang w:eastAsia="en-US"/>
              </w:rPr>
              <w:t>insert the following:</w:t>
            </w:r>
          </w:p>
          <w:p w:rsidR="00101E24" w:rsidRPr="00F45418" w:rsidRDefault="00101E24" w:rsidP="00101E24">
            <w:pPr>
              <w:numPr>
                <w:ilvl w:val="0"/>
                <w:numId w:val="38"/>
              </w:numPr>
              <w:rPr>
                <w:rFonts w:eastAsiaTheme="minorHAnsi" w:cs="Arial"/>
                <w:i/>
                <w:szCs w:val="22"/>
                <w:lang w:eastAsia="en-US"/>
              </w:rPr>
            </w:pPr>
            <w:r w:rsidRPr="00F45418">
              <w:rPr>
                <w:rFonts w:eastAsiaTheme="minorHAnsi" w:cs="Arial"/>
                <w:i/>
                <w:szCs w:val="22"/>
                <w:lang w:eastAsia="en-US"/>
              </w:rPr>
              <w:t>Manly Local Environment Plan 2013</w:t>
            </w:r>
          </w:p>
          <w:p w:rsidR="00101E24" w:rsidRPr="00F45418" w:rsidRDefault="00101E24" w:rsidP="00101E24">
            <w:pPr>
              <w:numPr>
                <w:ilvl w:val="0"/>
                <w:numId w:val="38"/>
              </w:numPr>
              <w:rPr>
                <w:rFonts w:eastAsiaTheme="minorHAnsi" w:cs="Arial"/>
                <w:i/>
                <w:szCs w:val="22"/>
                <w:lang w:eastAsia="en-US"/>
              </w:rPr>
            </w:pPr>
            <w:r w:rsidRPr="00F45418">
              <w:rPr>
                <w:rFonts w:eastAsiaTheme="minorHAnsi" w:cs="Arial"/>
                <w:i/>
                <w:szCs w:val="22"/>
                <w:lang w:eastAsia="en-US"/>
              </w:rPr>
              <w:t>Pittwater Local Environment Plan 2014</w:t>
            </w:r>
          </w:p>
          <w:p w:rsidR="00101E24" w:rsidRPr="00101E24" w:rsidRDefault="00101E24" w:rsidP="00D03B3E">
            <w:pPr>
              <w:numPr>
                <w:ilvl w:val="0"/>
                <w:numId w:val="38"/>
              </w:numPr>
              <w:rPr>
                <w:rFonts w:eastAsiaTheme="minorHAnsi" w:cs="Arial"/>
                <w:i/>
                <w:szCs w:val="22"/>
                <w:lang w:eastAsia="en-US"/>
              </w:rPr>
            </w:pPr>
            <w:r w:rsidRPr="00F45418">
              <w:rPr>
                <w:rFonts w:eastAsiaTheme="minorHAnsi" w:cs="Arial"/>
                <w:i/>
                <w:szCs w:val="22"/>
                <w:lang w:eastAsia="en-US"/>
              </w:rPr>
              <w:t>Single Use Plastic Policy 2017</w:t>
            </w:r>
          </w:p>
        </w:tc>
      </w:tr>
      <w:tr w:rsidR="003F7360" w:rsidTr="00E31A58">
        <w:tc>
          <w:tcPr>
            <w:tcW w:w="3369" w:type="dxa"/>
          </w:tcPr>
          <w:p w:rsidR="003F7360" w:rsidRDefault="00101E24" w:rsidP="00101E24">
            <w:pPr>
              <w:rPr>
                <w:rFonts w:eastAsiaTheme="minorHAnsi" w:cs="Arial"/>
                <w:szCs w:val="22"/>
                <w:lang w:eastAsia="en-US"/>
              </w:rPr>
            </w:pPr>
            <w:r>
              <w:rPr>
                <w:rFonts w:eastAsiaTheme="minorHAnsi" w:cs="Arial"/>
                <w:szCs w:val="22"/>
                <w:lang w:eastAsia="en-US"/>
              </w:rPr>
              <w:t xml:space="preserve">Requirements (matters Applicants are required to demonstrate) at  both Sections </w:t>
            </w:r>
            <w:r>
              <w:rPr>
                <w:rFonts w:eastAsiaTheme="minorHAnsi" w:cs="Arial"/>
                <w:szCs w:val="22"/>
                <w:lang w:eastAsia="en-US"/>
              </w:rPr>
              <w:lastRenderedPageBreak/>
              <w:t>1.1 (in relation to Demolition) and  Section 2.1 (in relation to Construction)</w:t>
            </w:r>
          </w:p>
        </w:tc>
        <w:tc>
          <w:tcPr>
            <w:tcW w:w="6485" w:type="dxa"/>
          </w:tcPr>
          <w:p w:rsidR="00101E24" w:rsidRDefault="00101E24" w:rsidP="00101E24">
            <w:pPr>
              <w:rPr>
                <w:rFonts w:eastAsiaTheme="minorHAnsi" w:cs="Arial"/>
                <w:szCs w:val="22"/>
                <w:lang w:eastAsia="en-US"/>
              </w:rPr>
            </w:pPr>
            <w:r>
              <w:rPr>
                <w:rFonts w:eastAsiaTheme="minorHAnsi" w:cs="Arial"/>
                <w:szCs w:val="22"/>
                <w:lang w:eastAsia="en-US"/>
              </w:rPr>
              <w:lastRenderedPageBreak/>
              <w:t>insert the following:</w:t>
            </w:r>
          </w:p>
          <w:p w:rsidR="00101E24" w:rsidRPr="00D95C89" w:rsidRDefault="00101E24" w:rsidP="00101E24">
            <w:pPr>
              <w:pStyle w:val="ListParagraph"/>
              <w:numPr>
                <w:ilvl w:val="0"/>
                <w:numId w:val="39"/>
              </w:numPr>
              <w:rPr>
                <w:i/>
              </w:rPr>
            </w:pPr>
            <w:r>
              <w:rPr>
                <w:i/>
              </w:rPr>
              <w:t>‘</w:t>
            </w:r>
            <w:r w:rsidRPr="00D95C89">
              <w:rPr>
                <w:i/>
              </w:rPr>
              <w:t xml:space="preserve">Footpaths, public reserves, street gutters are not to be used as places to store demolition or construction waste </w:t>
            </w:r>
            <w:r w:rsidRPr="00D95C89">
              <w:rPr>
                <w:i/>
              </w:rPr>
              <w:lastRenderedPageBreak/>
              <w:t>or materials of any kind without Council approval.</w:t>
            </w:r>
            <w:r>
              <w:rPr>
                <w:i/>
              </w:rPr>
              <w:t>’</w:t>
            </w:r>
          </w:p>
          <w:p w:rsidR="003F7360" w:rsidRDefault="003F7360" w:rsidP="00D03B3E">
            <w:pPr>
              <w:rPr>
                <w:rFonts w:eastAsiaTheme="minorHAnsi" w:cs="Arial"/>
                <w:szCs w:val="22"/>
                <w:lang w:eastAsia="en-US"/>
              </w:rPr>
            </w:pPr>
          </w:p>
        </w:tc>
      </w:tr>
      <w:tr w:rsidR="003F7360" w:rsidTr="00E31A58">
        <w:tc>
          <w:tcPr>
            <w:tcW w:w="3369" w:type="dxa"/>
          </w:tcPr>
          <w:p w:rsidR="003F7360" w:rsidRDefault="00101E24" w:rsidP="00D03B3E">
            <w:pPr>
              <w:rPr>
                <w:rFonts w:eastAsiaTheme="minorHAnsi" w:cs="Arial"/>
                <w:szCs w:val="22"/>
                <w:lang w:eastAsia="en-US"/>
              </w:rPr>
            </w:pPr>
            <w:r w:rsidRPr="00F4732D">
              <w:lastRenderedPageBreak/>
              <w:t xml:space="preserve">Waste Storage Area design requirements at Section 4.2, Chapter </w:t>
            </w:r>
            <w:r>
              <w:t xml:space="preserve">4 </w:t>
            </w:r>
            <w:r w:rsidRPr="00F4732D">
              <w:t>in relation to development involving 3 or more dwellings</w:t>
            </w:r>
          </w:p>
        </w:tc>
        <w:tc>
          <w:tcPr>
            <w:tcW w:w="6485" w:type="dxa"/>
          </w:tcPr>
          <w:p w:rsidR="00101E24" w:rsidRPr="00F4732D" w:rsidRDefault="00101E24" w:rsidP="00101E24">
            <w:r w:rsidRPr="00F4732D">
              <w:t>insert the following:</w:t>
            </w:r>
          </w:p>
          <w:p w:rsidR="00101E24" w:rsidRDefault="00101E24" w:rsidP="00101E24">
            <w:pPr>
              <w:pStyle w:val="ListParagraph"/>
              <w:numPr>
                <w:ilvl w:val="0"/>
                <w:numId w:val="39"/>
              </w:numPr>
              <w:rPr>
                <w:i/>
              </w:rPr>
            </w:pPr>
            <w:r w:rsidRPr="00F4732D">
              <w:rPr>
                <w:i/>
              </w:rPr>
              <w:t>‘All Waste Storage Areas will</w:t>
            </w:r>
            <w:proofErr w:type="gramStart"/>
            <w:r w:rsidRPr="00F4732D">
              <w:rPr>
                <w:i/>
              </w:rPr>
              <w:t>:..</w:t>
            </w:r>
            <w:proofErr w:type="gramEnd"/>
            <w:r w:rsidRPr="00F4732D">
              <w:rPr>
                <w:i/>
              </w:rPr>
              <w:t xml:space="preserve"> Be architecturally designed to reflect the design style of the proposed / existing building and not detract from the visual amenity and streetscape chara</w:t>
            </w:r>
            <w:r>
              <w:rPr>
                <w:i/>
              </w:rPr>
              <w:t>cter in the immediate vicinity.’</w:t>
            </w:r>
          </w:p>
          <w:p w:rsidR="003F7360" w:rsidRPr="00101E24" w:rsidRDefault="00101E24" w:rsidP="00D03B3E">
            <w:pPr>
              <w:pStyle w:val="ListParagraph"/>
              <w:numPr>
                <w:ilvl w:val="0"/>
                <w:numId w:val="39"/>
              </w:numPr>
              <w:rPr>
                <w:i/>
              </w:rPr>
            </w:pPr>
            <w:r>
              <w:rPr>
                <w:i/>
              </w:rPr>
              <w:t>‘</w:t>
            </w:r>
            <w:r w:rsidRPr="00F4732D">
              <w:rPr>
                <w:i/>
              </w:rPr>
              <w:t>Where Waste Storage Areas are exter</w:t>
            </w:r>
            <w:r>
              <w:rPr>
                <w:i/>
              </w:rPr>
              <w:t>nal to the building, they must</w:t>
            </w:r>
            <w:proofErr w:type="gramStart"/>
            <w:r>
              <w:rPr>
                <w:i/>
              </w:rPr>
              <w:t>:…</w:t>
            </w:r>
            <w:proofErr w:type="gramEnd"/>
            <w:r>
              <w:rPr>
                <w:i/>
              </w:rPr>
              <w:t xml:space="preserve"> </w:t>
            </w:r>
            <w:r w:rsidRPr="00F4732D">
              <w:rPr>
                <w:i/>
              </w:rPr>
              <w:t>Be screen</w:t>
            </w:r>
            <w:r>
              <w:rPr>
                <w:i/>
              </w:rPr>
              <w:t>ed</w:t>
            </w:r>
            <w:r w:rsidRPr="00F4732D">
              <w:rPr>
                <w:i/>
              </w:rPr>
              <w:t xml:space="preserve"> from the street frontage in a manner that improves the streetscape appearance of the facility</w:t>
            </w:r>
            <w:r>
              <w:rPr>
                <w:i/>
              </w:rPr>
              <w:t>’</w:t>
            </w:r>
          </w:p>
        </w:tc>
      </w:tr>
      <w:tr w:rsidR="003F7360" w:rsidTr="00E31A58">
        <w:tc>
          <w:tcPr>
            <w:tcW w:w="3369" w:type="dxa"/>
          </w:tcPr>
          <w:p w:rsidR="003F7360" w:rsidRDefault="00101E24" w:rsidP="00D03B3E">
            <w:pPr>
              <w:rPr>
                <w:rFonts w:eastAsiaTheme="minorHAnsi" w:cs="Arial"/>
                <w:szCs w:val="22"/>
                <w:lang w:eastAsia="en-US"/>
              </w:rPr>
            </w:pPr>
            <w:r w:rsidRPr="00F4732D">
              <w:t xml:space="preserve">Waste Storage Area design requirements at Section 4.2, Chapter </w:t>
            </w:r>
            <w:r>
              <w:t xml:space="preserve">4 </w:t>
            </w:r>
            <w:r w:rsidRPr="00F4732D">
              <w:t>in relation to development involving 3 or more dwellings</w:t>
            </w:r>
          </w:p>
        </w:tc>
        <w:tc>
          <w:tcPr>
            <w:tcW w:w="6485" w:type="dxa"/>
          </w:tcPr>
          <w:p w:rsidR="003F7360" w:rsidRDefault="00101E24" w:rsidP="00D03B3E">
            <w:pPr>
              <w:rPr>
                <w:rFonts w:eastAsiaTheme="minorHAnsi" w:cs="Arial"/>
                <w:szCs w:val="22"/>
                <w:lang w:eastAsia="en-US"/>
              </w:rPr>
            </w:pPr>
            <w:proofErr w:type="gramStart"/>
            <w:r w:rsidRPr="00F4732D">
              <w:t>insert</w:t>
            </w:r>
            <w:proofErr w:type="gramEnd"/>
            <w:r w:rsidRPr="00F4732D">
              <w:t xml:space="preserve"> </w:t>
            </w:r>
            <w:r>
              <w:t xml:space="preserve">an additional requirement that </w:t>
            </w:r>
            <w:r w:rsidRPr="00F4732D">
              <w:t xml:space="preserve"> </w:t>
            </w:r>
            <w:r w:rsidRPr="007A64BD">
              <w:rPr>
                <w:i/>
              </w:rPr>
              <w:t xml:space="preserve">Waste Storage Areas </w:t>
            </w:r>
            <w:r>
              <w:t xml:space="preserve">are </w:t>
            </w:r>
            <w:r w:rsidRPr="007A64BD">
              <w:rPr>
                <w:i/>
              </w:rPr>
              <w:t>‘not placed on any leased or Council land’</w:t>
            </w:r>
            <w:r>
              <w:t>.</w:t>
            </w:r>
          </w:p>
        </w:tc>
      </w:tr>
      <w:tr w:rsidR="003F7360" w:rsidTr="00E31A58">
        <w:tc>
          <w:tcPr>
            <w:tcW w:w="3369" w:type="dxa"/>
          </w:tcPr>
          <w:p w:rsidR="003F7360" w:rsidRDefault="00101E24" w:rsidP="00101E24">
            <w:pPr>
              <w:rPr>
                <w:rFonts w:eastAsiaTheme="minorHAnsi" w:cs="Arial"/>
                <w:szCs w:val="22"/>
                <w:lang w:eastAsia="en-US"/>
              </w:rPr>
            </w:pPr>
            <w:r w:rsidRPr="00C62A0C">
              <w:rPr>
                <w:rFonts w:eastAsiaTheme="minorHAnsi" w:cs="Arial"/>
                <w:szCs w:val="22"/>
                <w:lang w:eastAsia="en-US"/>
              </w:rPr>
              <w:t>Chapter 5</w:t>
            </w:r>
            <w:r>
              <w:rPr>
                <w:rFonts w:eastAsiaTheme="minorHAnsi" w:cs="Arial"/>
                <w:szCs w:val="22"/>
                <w:lang w:eastAsia="en-US"/>
              </w:rPr>
              <w:t xml:space="preserve"> in relation to </w:t>
            </w:r>
            <w:r w:rsidRPr="00C62A0C">
              <w:t>estimating non-residential waste generation rates</w:t>
            </w:r>
            <w:r w:rsidRPr="00C62A0C">
              <w:rPr>
                <w:rFonts w:eastAsiaTheme="minorHAnsi" w:cs="Arial"/>
                <w:szCs w:val="22"/>
                <w:lang w:eastAsia="en-US"/>
              </w:rPr>
              <w:t xml:space="preserve"> at </w:t>
            </w:r>
          </w:p>
        </w:tc>
        <w:tc>
          <w:tcPr>
            <w:tcW w:w="6485" w:type="dxa"/>
          </w:tcPr>
          <w:p w:rsidR="00101E24" w:rsidRPr="00C62A0C" w:rsidRDefault="00101E24" w:rsidP="00101E24">
            <w:pPr>
              <w:rPr>
                <w:rFonts w:eastAsiaTheme="minorHAnsi" w:cs="Arial"/>
                <w:szCs w:val="22"/>
                <w:lang w:eastAsia="en-US"/>
              </w:rPr>
            </w:pPr>
            <w:r w:rsidRPr="00C62A0C">
              <w:rPr>
                <w:rFonts w:eastAsiaTheme="minorHAnsi" w:cs="Arial"/>
                <w:szCs w:val="22"/>
                <w:lang w:eastAsia="en-US"/>
              </w:rPr>
              <w:t>insert the following:</w:t>
            </w:r>
          </w:p>
          <w:p w:rsidR="003F7360" w:rsidRPr="00101E24" w:rsidRDefault="00101E24" w:rsidP="00101E24">
            <w:pPr>
              <w:ind w:left="567"/>
              <w:rPr>
                <w:i/>
              </w:rPr>
            </w:pPr>
            <w:r w:rsidRPr="00C62A0C">
              <w:rPr>
                <w:i/>
              </w:rPr>
              <w:t>‘Council encourages non-residential premises to apply waste minimisation principles and adhere to Council’s Single Use Plastic policy, where applicable.  Council may request evidences from business operators that recycling is occurring onsite and considering alternatives to plastic bags for the purposes of carrying items purchased from the premises’</w:t>
            </w:r>
          </w:p>
        </w:tc>
      </w:tr>
      <w:tr w:rsidR="003F7360" w:rsidTr="00804010">
        <w:tc>
          <w:tcPr>
            <w:tcW w:w="3369" w:type="dxa"/>
          </w:tcPr>
          <w:p w:rsidR="00101E24" w:rsidRPr="00101E24" w:rsidRDefault="00101E24" w:rsidP="00101E24">
            <w:pPr>
              <w:rPr>
                <w:rFonts w:eastAsiaTheme="minorHAnsi" w:cs="Arial"/>
                <w:szCs w:val="22"/>
                <w:lang w:eastAsia="en-US"/>
              </w:rPr>
            </w:pPr>
            <w:r w:rsidRPr="00101E24">
              <w:rPr>
                <w:rFonts w:eastAsiaTheme="minorHAnsi" w:cs="Arial"/>
                <w:szCs w:val="22"/>
                <w:lang w:eastAsia="en-US"/>
              </w:rPr>
              <w:t xml:space="preserve">Waste Management Plan (Template for Applicants) </w:t>
            </w:r>
          </w:p>
          <w:p w:rsidR="003F7360" w:rsidRDefault="00101E24" w:rsidP="00101E24">
            <w:pPr>
              <w:rPr>
                <w:rFonts w:eastAsiaTheme="minorHAnsi" w:cs="Arial"/>
                <w:szCs w:val="22"/>
                <w:lang w:eastAsia="en-US"/>
              </w:rPr>
            </w:pPr>
            <w:r w:rsidRPr="00101E24">
              <w:rPr>
                <w:rFonts w:eastAsiaTheme="minorHAnsi" w:cs="Arial"/>
                <w:szCs w:val="22"/>
                <w:lang w:eastAsia="en-US"/>
              </w:rPr>
              <w:t>Section – Purpose of the Waste Management Plan.</w:t>
            </w:r>
          </w:p>
        </w:tc>
        <w:tc>
          <w:tcPr>
            <w:tcW w:w="6485" w:type="dxa"/>
            <w:shd w:val="clear" w:color="auto" w:fill="auto"/>
          </w:tcPr>
          <w:p w:rsidR="00101E24" w:rsidRDefault="00804010" w:rsidP="00101E24">
            <w:pPr>
              <w:rPr>
                <w:rFonts w:eastAsiaTheme="minorHAnsi" w:cs="Arial"/>
                <w:szCs w:val="22"/>
                <w:lang w:eastAsia="en-US"/>
              </w:rPr>
            </w:pPr>
            <w:r>
              <w:rPr>
                <w:rFonts w:eastAsiaTheme="minorHAnsi" w:cs="Arial"/>
                <w:szCs w:val="22"/>
                <w:lang w:eastAsia="en-US"/>
              </w:rPr>
              <w:t>a</w:t>
            </w:r>
            <w:r w:rsidR="00101E24">
              <w:rPr>
                <w:rFonts w:eastAsiaTheme="minorHAnsi" w:cs="Arial"/>
                <w:szCs w:val="22"/>
                <w:lang w:eastAsia="en-US"/>
              </w:rPr>
              <w:t>fter the words ‘ A complete WPM is a mandatory requirement for any DA’,</w:t>
            </w:r>
            <w:r>
              <w:rPr>
                <w:rFonts w:eastAsiaTheme="minorHAnsi" w:cs="Arial"/>
                <w:szCs w:val="22"/>
                <w:lang w:eastAsia="en-US"/>
              </w:rPr>
              <w:t xml:space="preserve"> replace</w:t>
            </w:r>
            <w:r w:rsidR="00FC5662">
              <w:rPr>
                <w:rFonts w:eastAsiaTheme="minorHAnsi" w:cs="Arial"/>
                <w:szCs w:val="22"/>
                <w:lang w:eastAsia="en-US"/>
              </w:rPr>
              <w:t>:</w:t>
            </w:r>
          </w:p>
          <w:p w:rsidR="00FC5662" w:rsidRDefault="00101E24" w:rsidP="00101E24">
            <w:pPr>
              <w:pStyle w:val="ListParagraph"/>
              <w:numPr>
                <w:ilvl w:val="0"/>
                <w:numId w:val="37"/>
              </w:numPr>
              <w:rPr>
                <w:rFonts w:eastAsiaTheme="minorHAnsi" w:cs="Arial"/>
                <w:i/>
                <w:szCs w:val="22"/>
                <w:lang w:eastAsia="en-US"/>
              </w:rPr>
            </w:pPr>
            <w:r w:rsidRPr="00654742">
              <w:rPr>
                <w:rFonts w:eastAsiaTheme="minorHAnsi" w:cs="Arial"/>
                <w:i/>
                <w:szCs w:val="22"/>
                <w:lang w:eastAsia="en-US"/>
              </w:rPr>
              <w:t>‘</w:t>
            </w:r>
            <w:r w:rsidR="00804010">
              <w:rPr>
                <w:rFonts w:eastAsiaTheme="minorHAnsi" w:cs="Arial"/>
                <w:i/>
                <w:szCs w:val="22"/>
                <w:lang w:eastAsia="en-US"/>
              </w:rPr>
              <w:t>f</w:t>
            </w:r>
            <w:r w:rsidRPr="00654742">
              <w:rPr>
                <w:rFonts w:eastAsiaTheme="minorHAnsi" w:cs="Arial"/>
                <w:i/>
                <w:szCs w:val="22"/>
                <w:lang w:eastAsia="en-US"/>
              </w:rPr>
              <w:t>or development in the area of WLEP 2011 and WLEP 2000’</w:t>
            </w:r>
            <w:r>
              <w:rPr>
                <w:rFonts w:eastAsiaTheme="minorHAnsi" w:cs="Arial"/>
                <w:i/>
                <w:szCs w:val="22"/>
                <w:lang w:eastAsia="en-US"/>
              </w:rPr>
              <w:t xml:space="preserve"> </w:t>
            </w:r>
          </w:p>
          <w:p w:rsidR="00101E24" w:rsidRPr="00FC5662" w:rsidRDefault="00101E24" w:rsidP="00FC5662">
            <w:pPr>
              <w:rPr>
                <w:rFonts w:eastAsiaTheme="minorHAnsi" w:cs="Arial"/>
                <w:i/>
                <w:szCs w:val="22"/>
                <w:lang w:eastAsia="en-US"/>
              </w:rPr>
            </w:pPr>
            <w:r w:rsidRPr="00FC5662">
              <w:rPr>
                <w:rFonts w:eastAsiaTheme="minorHAnsi" w:cs="Arial"/>
                <w:szCs w:val="22"/>
                <w:lang w:eastAsia="en-US"/>
              </w:rPr>
              <w:t>with</w:t>
            </w:r>
            <w:r w:rsidR="00FC5662" w:rsidRPr="00FC5662">
              <w:rPr>
                <w:rFonts w:eastAsiaTheme="minorHAnsi" w:cs="Arial"/>
                <w:szCs w:val="22"/>
                <w:lang w:eastAsia="en-US"/>
              </w:rPr>
              <w:t>:</w:t>
            </w:r>
            <w:r w:rsidRPr="00FC5662">
              <w:rPr>
                <w:rFonts w:eastAsiaTheme="minorHAnsi" w:cs="Arial"/>
                <w:i/>
                <w:szCs w:val="22"/>
                <w:lang w:eastAsia="en-US"/>
              </w:rPr>
              <w:t xml:space="preserve"> </w:t>
            </w:r>
          </w:p>
          <w:p w:rsidR="003F7360" w:rsidRPr="00101E24" w:rsidRDefault="00101E24" w:rsidP="00FC5662">
            <w:pPr>
              <w:pStyle w:val="ListParagraph"/>
              <w:numPr>
                <w:ilvl w:val="0"/>
                <w:numId w:val="37"/>
              </w:numPr>
              <w:rPr>
                <w:rFonts w:eastAsiaTheme="minorHAnsi" w:cs="Arial"/>
                <w:i/>
                <w:szCs w:val="22"/>
                <w:lang w:eastAsia="en-US"/>
              </w:rPr>
            </w:pPr>
            <w:r w:rsidRPr="00654742">
              <w:rPr>
                <w:rFonts w:eastAsiaTheme="minorHAnsi" w:cs="Arial"/>
                <w:i/>
                <w:szCs w:val="22"/>
                <w:lang w:eastAsia="en-US"/>
              </w:rPr>
              <w:t>‘for which Council is the Consent Authority’</w:t>
            </w:r>
          </w:p>
        </w:tc>
      </w:tr>
    </w:tbl>
    <w:p w:rsidR="003F7360" w:rsidRDefault="003F7360" w:rsidP="00D03B3E">
      <w:pPr>
        <w:rPr>
          <w:rFonts w:eastAsiaTheme="minorHAnsi" w:cs="Arial"/>
          <w:szCs w:val="22"/>
          <w:lang w:eastAsia="en-US"/>
        </w:rPr>
      </w:pPr>
    </w:p>
    <w:p w:rsidR="00D03B3E" w:rsidRDefault="00D03B3E" w:rsidP="00D03B3E">
      <w:pPr>
        <w:rPr>
          <w:rFonts w:eastAsiaTheme="minorHAnsi" w:cs="Arial"/>
          <w:i/>
          <w:szCs w:val="22"/>
          <w:lang w:eastAsia="en-US"/>
        </w:rPr>
      </w:pPr>
    </w:p>
    <w:p w:rsidR="00CA4E7F" w:rsidRPr="002A1E92" w:rsidRDefault="00CA4E7F" w:rsidP="002A1E92">
      <w:pPr>
        <w:pStyle w:val="BodyText"/>
      </w:pPr>
    </w:p>
    <w:sectPr w:rsidR="00CA4E7F" w:rsidRPr="002A1E92"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3E" w:rsidRDefault="00D03B3E" w:rsidP="008E54E4">
      <w:r>
        <w:separator/>
      </w:r>
    </w:p>
  </w:endnote>
  <w:endnote w:type="continuationSeparator" w:id="0">
    <w:p w:rsidR="00D03B3E" w:rsidRDefault="00D03B3E"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3E" w:rsidRDefault="00D03B3E" w:rsidP="008E54E4">
      <w:r>
        <w:separator/>
      </w:r>
    </w:p>
  </w:footnote>
  <w:footnote w:type="continuationSeparator" w:id="0">
    <w:p w:rsidR="00D03B3E" w:rsidRDefault="00D03B3E" w:rsidP="008E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64C1EA"/>
    <w:lvl w:ilvl="0">
      <w:start w:val="1"/>
      <w:numFmt w:val="decimal"/>
      <w:lvlText w:val="%1."/>
      <w:lvlJc w:val="left"/>
      <w:pPr>
        <w:tabs>
          <w:tab w:val="num" w:pos="1492"/>
        </w:tabs>
        <w:ind w:left="1492" w:hanging="360"/>
      </w:pPr>
    </w:lvl>
  </w:abstractNum>
  <w:abstractNum w:abstractNumId="1">
    <w:nsid w:val="FFFFFF7D"/>
    <w:multiLevelType w:val="singleLevel"/>
    <w:tmpl w:val="56CC3032"/>
    <w:lvl w:ilvl="0">
      <w:start w:val="1"/>
      <w:numFmt w:val="decimal"/>
      <w:lvlText w:val="%1."/>
      <w:lvlJc w:val="left"/>
      <w:pPr>
        <w:tabs>
          <w:tab w:val="num" w:pos="1209"/>
        </w:tabs>
        <w:ind w:left="1209" w:hanging="360"/>
      </w:pPr>
    </w:lvl>
  </w:abstractNum>
  <w:abstractNum w:abstractNumId="2">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45E5C97"/>
    <w:multiLevelType w:val="hybridMultilevel"/>
    <w:tmpl w:val="8BC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nsid w:val="2F2C752E"/>
    <w:multiLevelType w:val="hybridMultilevel"/>
    <w:tmpl w:val="9188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nsid w:val="4E84660C"/>
    <w:multiLevelType w:val="hybridMultilevel"/>
    <w:tmpl w:val="DE501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29C650D"/>
    <w:multiLevelType w:val="hybridMultilevel"/>
    <w:tmpl w:val="6E123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2F2EA4"/>
    <w:multiLevelType w:val="hybridMultilevel"/>
    <w:tmpl w:val="A5E27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203C7"/>
    <w:multiLevelType w:val="hybridMultilevel"/>
    <w:tmpl w:val="CC125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16"/>
  </w:num>
  <w:num w:numId="5">
    <w:abstractNumId w:val="16"/>
  </w:num>
  <w:num w:numId="6">
    <w:abstractNumId w:val="16"/>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3"/>
  </w:num>
  <w:num w:numId="15">
    <w:abstractNumId w:val="10"/>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14"/>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6"/>
  </w:num>
  <w:num w:numId="32">
    <w:abstractNumId w:val="16"/>
  </w:num>
  <w:num w:numId="33">
    <w:abstractNumId w:val="16"/>
  </w:num>
  <w:num w:numId="34">
    <w:abstractNumId w:val="16"/>
  </w:num>
  <w:num w:numId="35">
    <w:abstractNumId w:val="16"/>
  </w:num>
  <w:num w:numId="36">
    <w:abstractNumId w:val="19"/>
  </w:num>
  <w:num w:numId="37">
    <w:abstractNumId w:val="22"/>
  </w:num>
  <w:num w:numId="38">
    <w:abstractNumId w:val="15"/>
  </w:num>
  <w:num w:numId="39">
    <w:abstractNumId w:val="12"/>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3E"/>
    <w:rsid w:val="00065E60"/>
    <w:rsid w:val="000E0068"/>
    <w:rsid w:val="00101E24"/>
    <w:rsid w:val="00105241"/>
    <w:rsid w:val="001174D8"/>
    <w:rsid w:val="001360AE"/>
    <w:rsid w:val="001459F8"/>
    <w:rsid w:val="001C1771"/>
    <w:rsid w:val="001D6661"/>
    <w:rsid w:val="001E585B"/>
    <w:rsid w:val="0022601A"/>
    <w:rsid w:val="00247560"/>
    <w:rsid w:val="00267C42"/>
    <w:rsid w:val="002A1E92"/>
    <w:rsid w:val="002E6C18"/>
    <w:rsid w:val="002F17A2"/>
    <w:rsid w:val="0031641C"/>
    <w:rsid w:val="00346047"/>
    <w:rsid w:val="003821E8"/>
    <w:rsid w:val="003A645C"/>
    <w:rsid w:val="003F7360"/>
    <w:rsid w:val="00404065"/>
    <w:rsid w:val="00407F87"/>
    <w:rsid w:val="004222D2"/>
    <w:rsid w:val="004635B2"/>
    <w:rsid w:val="00464066"/>
    <w:rsid w:val="004A17B8"/>
    <w:rsid w:val="004E0115"/>
    <w:rsid w:val="005C3983"/>
    <w:rsid w:val="006161C5"/>
    <w:rsid w:val="00664F27"/>
    <w:rsid w:val="006F495F"/>
    <w:rsid w:val="00725A96"/>
    <w:rsid w:val="00736257"/>
    <w:rsid w:val="007E7E8C"/>
    <w:rsid w:val="007F58BD"/>
    <w:rsid w:val="00804010"/>
    <w:rsid w:val="00862FF4"/>
    <w:rsid w:val="008718D5"/>
    <w:rsid w:val="00871BFA"/>
    <w:rsid w:val="008C6AB3"/>
    <w:rsid w:val="008E54E4"/>
    <w:rsid w:val="00946331"/>
    <w:rsid w:val="00987FE7"/>
    <w:rsid w:val="009C165B"/>
    <w:rsid w:val="00A00127"/>
    <w:rsid w:val="00A510C8"/>
    <w:rsid w:val="00AC30DA"/>
    <w:rsid w:val="00B42601"/>
    <w:rsid w:val="00B4274F"/>
    <w:rsid w:val="00B66305"/>
    <w:rsid w:val="00BC0A6A"/>
    <w:rsid w:val="00BC77BE"/>
    <w:rsid w:val="00C35F84"/>
    <w:rsid w:val="00C5342C"/>
    <w:rsid w:val="00C57391"/>
    <w:rsid w:val="00CA4E7F"/>
    <w:rsid w:val="00D03B3E"/>
    <w:rsid w:val="00D07A59"/>
    <w:rsid w:val="00D17C10"/>
    <w:rsid w:val="00D23385"/>
    <w:rsid w:val="00DF15BC"/>
    <w:rsid w:val="00E0177D"/>
    <w:rsid w:val="00E31A58"/>
    <w:rsid w:val="00E43BF1"/>
    <w:rsid w:val="00E605DD"/>
    <w:rsid w:val="00E7626F"/>
    <w:rsid w:val="00EC77EE"/>
    <w:rsid w:val="00ED0522"/>
    <w:rsid w:val="00EF2455"/>
    <w:rsid w:val="00FA04ED"/>
    <w:rsid w:val="00FC5662"/>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03B3E"/>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link w:val="BodyText"/>
    <w:rsid w:val="00D03B3E"/>
    <w:rPr>
      <w:rFonts w:ascii="Arial" w:hAnsi="Arial"/>
      <w:sz w:val="22"/>
      <w:szCs w:val="24"/>
    </w:rPr>
  </w:style>
  <w:style w:type="paragraph" w:styleId="ListParagraph">
    <w:name w:val="List Paragraph"/>
    <w:basedOn w:val="Normal"/>
    <w:uiPriority w:val="34"/>
    <w:qFormat/>
    <w:rsid w:val="00D03B3E"/>
    <w:pPr>
      <w:ind w:left="720"/>
      <w:contextualSpacing/>
    </w:pPr>
  </w:style>
  <w:style w:type="table" w:styleId="TableGrid">
    <w:name w:val="Table Grid"/>
    <w:basedOn w:val="TableNormal"/>
    <w:rsid w:val="003F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03B3E"/>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link w:val="BodyText"/>
    <w:rsid w:val="00D03B3E"/>
    <w:rPr>
      <w:rFonts w:ascii="Arial" w:hAnsi="Arial"/>
      <w:sz w:val="22"/>
      <w:szCs w:val="24"/>
    </w:rPr>
  </w:style>
  <w:style w:type="paragraph" w:styleId="ListParagraph">
    <w:name w:val="List Paragraph"/>
    <w:basedOn w:val="Normal"/>
    <w:uiPriority w:val="34"/>
    <w:qFormat/>
    <w:rsid w:val="00D03B3E"/>
    <w:pPr>
      <w:ind w:left="720"/>
      <w:contextualSpacing/>
    </w:pPr>
  </w:style>
  <w:style w:type="table" w:styleId="TableGrid">
    <w:name w:val="Table Grid"/>
    <w:basedOn w:val="TableNormal"/>
    <w:rsid w:val="003F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Paul Christmas</dc:creator>
  <cp:lastModifiedBy>Lindy Riese</cp:lastModifiedBy>
  <cp:revision>2</cp:revision>
  <dcterms:created xsi:type="dcterms:W3CDTF">2018-06-13T00:57:00Z</dcterms:created>
  <dcterms:modified xsi:type="dcterms:W3CDTF">2018-06-13T00:57:00Z</dcterms:modified>
</cp:coreProperties>
</file>