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6B5" w:rsidRPr="003A569C" w:rsidRDefault="003A569C" w:rsidP="00273A95">
      <w:pPr>
        <w:pStyle w:val="BodyText"/>
        <w:rPr>
          <w:b/>
        </w:rPr>
      </w:pPr>
      <w:bookmarkStart w:id="0" w:name="_GoBack"/>
      <w:bookmarkEnd w:id="0"/>
      <w:r w:rsidRPr="003A569C">
        <w:rPr>
          <w:b/>
        </w:rPr>
        <w:t xml:space="preserve">Existing DCP Provisions for Adaptable Housing </w:t>
      </w:r>
    </w:p>
    <w:p w:rsidR="003A569C" w:rsidRPr="003A569C" w:rsidRDefault="003A569C" w:rsidP="003A569C">
      <w:pPr>
        <w:pStyle w:val="BodyText"/>
        <w:numPr>
          <w:ilvl w:val="0"/>
          <w:numId w:val="36"/>
        </w:numPr>
        <w:rPr>
          <w:b/>
        </w:rPr>
      </w:pPr>
      <w:r w:rsidRPr="003A569C">
        <w:rPr>
          <w:b/>
        </w:rPr>
        <w:t>A: Manly DCP 2013</w:t>
      </w:r>
    </w:p>
    <w:p w:rsidR="00273A95" w:rsidRPr="003A569C" w:rsidRDefault="003A569C" w:rsidP="003A569C">
      <w:pPr>
        <w:pStyle w:val="BodyText"/>
        <w:numPr>
          <w:ilvl w:val="0"/>
          <w:numId w:val="36"/>
        </w:numPr>
        <w:rPr>
          <w:b/>
        </w:rPr>
      </w:pPr>
      <w:r w:rsidRPr="003A569C">
        <w:rPr>
          <w:b/>
        </w:rPr>
        <w:t xml:space="preserve">B: </w:t>
      </w:r>
      <w:r>
        <w:rPr>
          <w:b/>
        </w:rPr>
        <w:t>Pittwater DCP 2014</w:t>
      </w:r>
    </w:p>
    <w:p w:rsidR="003A569C" w:rsidRPr="003A569C" w:rsidRDefault="003A569C" w:rsidP="003A569C">
      <w:pPr>
        <w:pStyle w:val="BodyText"/>
        <w:numPr>
          <w:ilvl w:val="0"/>
          <w:numId w:val="36"/>
        </w:numPr>
        <w:rPr>
          <w:b/>
        </w:rPr>
      </w:pPr>
      <w:r w:rsidRPr="003A569C">
        <w:rPr>
          <w:b/>
        </w:rPr>
        <w:t xml:space="preserve">C: </w:t>
      </w:r>
      <w:r>
        <w:rPr>
          <w:b/>
        </w:rPr>
        <w:t>Warringah DCP 2011</w:t>
      </w:r>
      <w:r w:rsidRPr="003A569C">
        <w:rPr>
          <w:b/>
        </w:rPr>
        <w:t xml:space="preserve"> (Dee Why</w:t>
      </w:r>
      <w:r>
        <w:rPr>
          <w:b/>
        </w:rPr>
        <w:t xml:space="preserve"> Town Centre</w:t>
      </w:r>
      <w:r w:rsidRPr="003A569C">
        <w:rPr>
          <w:b/>
        </w:rPr>
        <w:t xml:space="preserve"> only)</w:t>
      </w:r>
    </w:p>
    <w:p w:rsidR="003A569C" w:rsidRDefault="003A569C" w:rsidP="00273A95">
      <w:pPr>
        <w:pStyle w:val="BodyText"/>
        <w:rPr>
          <w:b/>
        </w:rPr>
      </w:pPr>
    </w:p>
    <w:p w:rsidR="003A569C" w:rsidRDefault="003A569C" w:rsidP="00273A95">
      <w:pPr>
        <w:pStyle w:val="BodyText"/>
        <w:rPr>
          <w:b/>
        </w:rPr>
      </w:pPr>
      <w:r w:rsidRPr="003A569C">
        <w:rPr>
          <w:b/>
        </w:rPr>
        <w:t>A: Manly DCP 2013</w:t>
      </w:r>
    </w:p>
    <w:p w:rsidR="00273A95" w:rsidRPr="00273A95" w:rsidRDefault="003A569C" w:rsidP="00273A95">
      <w:pPr>
        <w:pStyle w:val="BodyText"/>
        <w:rPr>
          <w:b/>
        </w:rPr>
      </w:pPr>
      <w:r>
        <w:rPr>
          <w:b/>
        </w:rPr>
        <w:t xml:space="preserve">Paragraph </w:t>
      </w:r>
      <w:r w:rsidR="00273A95" w:rsidRPr="00273A95">
        <w:rPr>
          <w:b/>
        </w:rPr>
        <w:t>3.6.3.1 Accessible (Adaptable) Accommodation Requirements</w:t>
      </w:r>
    </w:p>
    <w:p w:rsidR="00273A95" w:rsidRPr="00273A95" w:rsidRDefault="00273A95" w:rsidP="00273A95">
      <w:pPr>
        <w:pStyle w:val="BodyText"/>
      </w:pPr>
      <w:r w:rsidRPr="00273A95">
        <w:t xml:space="preserve">Access in accordance with AS4299 - Adaptable Housing must be provided to at least 25 percent of dwellings within residential accommodation containing 4 or more dwellings. </w:t>
      </w:r>
    </w:p>
    <w:p w:rsidR="00273A95" w:rsidRPr="00273A95" w:rsidRDefault="00273A95" w:rsidP="00273A95">
      <w:pPr>
        <w:pStyle w:val="BodyText"/>
      </w:pPr>
      <w:r w:rsidRPr="00273A95">
        <w:t>a)</w:t>
      </w:r>
      <w:r w:rsidRPr="00273A95">
        <w:tab/>
        <w:t>The provision of any required Adaptable Housing need to be demonstrated in the DA drawings. In particular, the following building features are to be included for adaptable housing:</w:t>
      </w:r>
    </w:p>
    <w:p w:rsidR="00273A95" w:rsidRPr="00273A95" w:rsidRDefault="00273A95" w:rsidP="00273A95">
      <w:pPr>
        <w:pStyle w:val="BodyText"/>
      </w:pPr>
      <w:r w:rsidRPr="00273A95">
        <w:t>i)</w:t>
      </w:r>
      <w:r w:rsidRPr="00273A95">
        <w:tab/>
        <w:t xml:space="preserve">Provision of plans showing the dwelling in its pre-adaptation and post adaptation stages; </w:t>
      </w:r>
    </w:p>
    <w:p w:rsidR="00273A95" w:rsidRPr="00273A95" w:rsidRDefault="00273A95" w:rsidP="00273A95">
      <w:pPr>
        <w:pStyle w:val="BodyText"/>
      </w:pPr>
      <w:r w:rsidRPr="00273A95">
        <w:t xml:space="preserve">ii) </w:t>
      </w:r>
      <w:r w:rsidRPr="00273A95">
        <w:tab/>
        <w:t>A continuous accessible path of travel from the car space to and within the adaptable dwelling and to common facilities;</w:t>
      </w:r>
    </w:p>
    <w:p w:rsidR="00273A95" w:rsidRPr="00273A95" w:rsidRDefault="00273A95" w:rsidP="00273A95">
      <w:pPr>
        <w:pStyle w:val="BodyText"/>
      </w:pPr>
      <w:r w:rsidRPr="00273A95">
        <w:t xml:space="preserve">iii)      Provision of an adaptable parking space of at least 3.8m wide; </w:t>
      </w:r>
    </w:p>
    <w:p w:rsidR="00273A95" w:rsidRPr="00273A95" w:rsidRDefault="00273A95" w:rsidP="00273A95">
      <w:pPr>
        <w:pStyle w:val="BodyText"/>
      </w:pPr>
      <w:r w:rsidRPr="00273A95">
        <w:t>iv)     Circulation space to allow potential wheelchair manoeuvrability externally and internally;</w:t>
      </w:r>
    </w:p>
    <w:p w:rsidR="00273A95" w:rsidRPr="00273A95" w:rsidRDefault="00273A95" w:rsidP="00273A95">
      <w:pPr>
        <w:pStyle w:val="BodyText"/>
      </w:pPr>
      <w:r w:rsidRPr="00273A95">
        <w:t>v)</w:t>
      </w:r>
      <w:r w:rsidRPr="00273A95">
        <w:tab/>
        <w:t xml:space="preserve">Modular kitchen cabinetry; </w:t>
      </w:r>
    </w:p>
    <w:p w:rsidR="00273A95" w:rsidRPr="00273A95" w:rsidRDefault="00273A95" w:rsidP="00273A95">
      <w:pPr>
        <w:pStyle w:val="BodyText"/>
      </w:pPr>
      <w:r w:rsidRPr="00273A95">
        <w:t xml:space="preserve">vi)  </w:t>
      </w:r>
      <w:r w:rsidRPr="00273A95">
        <w:tab/>
        <w:t xml:space="preserve">Easily adjustable bathroom facilities;  </w:t>
      </w:r>
    </w:p>
    <w:p w:rsidR="00273A95" w:rsidRPr="00273A95" w:rsidRDefault="00273A95" w:rsidP="00273A95">
      <w:pPr>
        <w:pStyle w:val="BodyText"/>
      </w:pPr>
      <w:r w:rsidRPr="00273A95">
        <w:t xml:space="preserve">vii) </w:t>
      </w:r>
      <w:r w:rsidRPr="00273A95">
        <w:tab/>
        <w:t xml:space="preserve">Easy to use laundry facilities; </w:t>
      </w:r>
    </w:p>
    <w:p w:rsidR="00273A95" w:rsidRPr="00273A95" w:rsidRDefault="00273A95" w:rsidP="00273A95">
      <w:pPr>
        <w:pStyle w:val="BodyText"/>
      </w:pPr>
      <w:r w:rsidRPr="00273A95">
        <w:t xml:space="preserve">viii)  </w:t>
      </w:r>
      <w:r w:rsidRPr="00273A95">
        <w:tab/>
        <w:t xml:space="preserve">Easy use of Garbage facilities by mobility impaired residents; and </w:t>
      </w:r>
    </w:p>
    <w:p w:rsidR="00273A95" w:rsidRPr="00273A95" w:rsidRDefault="00273A95" w:rsidP="00273A95">
      <w:pPr>
        <w:pStyle w:val="BodyText"/>
      </w:pPr>
      <w:r w:rsidRPr="00273A95">
        <w:t xml:space="preserve">ix)  </w:t>
      </w:r>
      <w:r w:rsidRPr="00273A95">
        <w:tab/>
        <w:t xml:space="preserve">Easy egress in case of emergency. </w:t>
      </w:r>
    </w:p>
    <w:p w:rsidR="00273A95" w:rsidRPr="00273A95" w:rsidRDefault="00273A95" w:rsidP="00273A95">
      <w:pPr>
        <w:pStyle w:val="BodyText"/>
      </w:pPr>
      <w:r w:rsidRPr="00273A95">
        <w:t>b)</w:t>
      </w:r>
      <w:r w:rsidRPr="00273A95">
        <w:tab/>
        <w:t xml:space="preserve">Council’s DA determination may condition that the required adaptable units be certified to meet the essential design elements listed in Australian Standard - AS4299. In this regard, applicants will need to submit sufficient design and construction details with the DA that demonstrate that the development is capable of satisfying future levels of access -  post adaptation to meet access requirements including full wheelchair accessibility. </w:t>
      </w:r>
    </w:p>
    <w:p w:rsidR="00273A95" w:rsidRPr="00273A95" w:rsidRDefault="00273A95" w:rsidP="00273A95">
      <w:pPr>
        <w:pStyle w:val="BodyText"/>
      </w:pPr>
      <w:r w:rsidRPr="00273A95">
        <w:t>c)</w:t>
      </w:r>
      <w:r w:rsidRPr="00273A95">
        <w:tab/>
        <w:t>In relation to Backpackers’ Accommodation at least 1 room capable of accommodating 4 people should be adaptable for access to a person with a disability. Kitchen facilities should also be capable of being used by a person with a disability. Toilet and shower rooms should be provided of suitable design and dimension to allow ease of use by a person with a disability as required by Australian Standard - AS 1482</w:t>
      </w:r>
    </w:p>
    <w:p w:rsidR="00273A95" w:rsidRPr="00273A95" w:rsidRDefault="00273A95" w:rsidP="00273A95">
      <w:pPr>
        <w:pStyle w:val="BodyText"/>
        <w:rPr>
          <w:u w:val="single"/>
        </w:rPr>
      </w:pPr>
    </w:p>
    <w:p w:rsidR="00273A95" w:rsidRPr="003A569C" w:rsidRDefault="003A569C" w:rsidP="00273A95">
      <w:pPr>
        <w:pStyle w:val="BodyText"/>
        <w:rPr>
          <w:b/>
        </w:rPr>
      </w:pPr>
      <w:r w:rsidRPr="003A569C">
        <w:rPr>
          <w:b/>
        </w:rPr>
        <w:t xml:space="preserve">B: </w:t>
      </w:r>
      <w:r w:rsidR="00273A95" w:rsidRPr="003A569C">
        <w:rPr>
          <w:b/>
        </w:rPr>
        <w:t>Pittwater DCP 2014</w:t>
      </w:r>
    </w:p>
    <w:p w:rsidR="00273A95" w:rsidRPr="00273A95" w:rsidRDefault="003A569C" w:rsidP="00273A95">
      <w:pPr>
        <w:pStyle w:val="BodyText"/>
        <w:rPr>
          <w:b/>
        </w:rPr>
      </w:pPr>
      <w:r>
        <w:rPr>
          <w:b/>
        </w:rPr>
        <w:t xml:space="preserve">Part </w:t>
      </w:r>
      <w:r w:rsidR="00273A95" w:rsidRPr="00273A95">
        <w:rPr>
          <w:b/>
        </w:rPr>
        <w:t>C1.9 Adaptable Housing and Accessibility</w:t>
      </w:r>
    </w:p>
    <w:p w:rsidR="00273A95" w:rsidRPr="00273A95" w:rsidRDefault="00273A95" w:rsidP="00273A95">
      <w:pPr>
        <w:pStyle w:val="BodyText"/>
        <w:rPr>
          <w:i/>
        </w:rPr>
      </w:pPr>
      <w:r w:rsidRPr="00273A95">
        <w:rPr>
          <w:i/>
        </w:rPr>
        <w:t>Outcomes</w:t>
      </w:r>
    </w:p>
    <w:p w:rsidR="00273A95" w:rsidRPr="00273A95" w:rsidRDefault="00273A95" w:rsidP="00273A95">
      <w:pPr>
        <w:pStyle w:val="BodyText"/>
      </w:pPr>
      <w:r w:rsidRPr="00273A95">
        <w:t xml:space="preserve">The community's lifecycle housing needs are met within Pittwater through well designed adaptable housing. </w:t>
      </w:r>
    </w:p>
    <w:p w:rsidR="00273A95" w:rsidRPr="00273A95" w:rsidRDefault="00273A95" w:rsidP="00273A95">
      <w:pPr>
        <w:pStyle w:val="BodyText"/>
      </w:pPr>
      <w:r w:rsidRPr="00273A95">
        <w:t>All members of the community enjoy equitable access to buildings to which the general public have access.</w:t>
      </w:r>
    </w:p>
    <w:p w:rsidR="00273A95" w:rsidRPr="00273A95" w:rsidRDefault="00273A95" w:rsidP="00273A95">
      <w:pPr>
        <w:pStyle w:val="BodyText"/>
      </w:pPr>
      <w:r w:rsidRPr="00273A95">
        <w:t xml:space="preserve">Housing for Seniors or People with a Disability is accessible, adaptable and safe. </w:t>
      </w:r>
    </w:p>
    <w:p w:rsidR="00273A95" w:rsidRPr="00273A95" w:rsidRDefault="00273A95" w:rsidP="00273A95">
      <w:pPr>
        <w:pStyle w:val="BodyText"/>
      </w:pPr>
      <w:r w:rsidRPr="00273A95">
        <w:lastRenderedPageBreak/>
        <w:t>Equitable access in the public domain.</w:t>
      </w:r>
    </w:p>
    <w:p w:rsidR="00273A95" w:rsidRPr="00D366B5" w:rsidRDefault="00273A95" w:rsidP="00273A95">
      <w:pPr>
        <w:pStyle w:val="BodyText"/>
        <w:rPr>
          <w:i/>
        </w:rPr>
      </w:pPr>
      <w:r w:rsidRPr="00D366B5">
        <w:rPr>
          <w:i/>
        </w:rPr>
        <w:t xml:space="preserve">Controls - Adaptable Housing </w:t>
      </w:r>
    </w:p>
    <w:p w:rsidR="00273A95" w:rsidRPr="00273A95" w:rsidRDefault="00273A95" w:rsidP="00273A95">
      <w:pPr>
        <w:pStyle w:val="BodyText"/>
      </w:pPr>
      <w:r w:rsidRPr="00273A95">
        <w:t>The design of residential development shall meet the criteria of Australian Standard AS 4299:1995 Adaptable Housing as follows:</w:t>
      </w:r>
    </w:p>
    <w:tbl>
      <w:tblPr>
        <w:tblW w:w="5000" w:type="pct"/>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4671"/>
        <w:gridCol w:w="1984"/>
        <w:gridCol w:w="2967"/>
      </w:tblGrid>
      <w:tr w:rsidR="00273A95" w:rsidRPr="00273A95" w:rsidTr="00D924D8">
        <w:tc>
          <w:tcPr>
            <w:tcW w:w="24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0" w:type="dxa"/>
            </w:tcMar>
            <w:hideMark/>
          </w:tcPr>
          <w:p w:rsidR="00273A95" w:rsidRPr="00273A95" w:rsidRDefault="00273A95" w:rsidP="00273A95">
            <w:pPr>
              <w:pStyle w:val="BodyText"/>
            </w:pPr>
            <w:r w:rsidRPr="00273A95">
              <w:rPr>
                <w:b/>
                <w:bCs/>
              </w:rPr>
              <w:t>Development</w:t>
            </w:r>
            <w:r w:rsidRPr="00273A95">
              <w:t> </w:t>
            </w:r>
          </w:p>
        </w:tc>
        <w:tc>
          <w:tcPr>
            <w:tcW w:w="103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0" w:type="dxa"/>
            </w:tcMar>
            <w:hideMark/>
          </w:tcPr>
          <w:p w:rsidR="00273A95" w:rsidRPr="00273A95" w:rsidRDefault="00273A95" w:rsidP="00273A95">
            <w:pPr>
              <w:pStyle w:val="BodyText"/>
            </w:pPr>
            <w:r w:rsidRPr="00273A95">
              <w:rPr>
                <w:b/>
                <w:bCs/>
              </w:rPr>
              <w:t>Percentage of adaptable units (rounded up)</w:t>
            </w:r>
            <w:r w:rsidRPr="00273A95">
              <w:t> </w:t>
            </w:r>
          </w:p>
        </w:tc>
        <w:tc>
          <w:tcPr>
            <w:tcW w:w="154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0" w:type="dxa"/>
            </w:tcMar>
            <w:hideMark/>
          </w:tcPr>
          <w:p w:rsidR="00273A95" w:rsidRPr="00273A95" w:rsidRDefault="00273A95" w:rsidP="00273A95">
            <w:pPr>
              <w:pStyle w:val="BodyText"/>
            </w:pPr>
            <w:r w:rsidRPr="00273A95">
              <w:rPr>
                <w:b/>
                <w:bCs/>
              </w:rPr>
              <w:t>Minimum class under AS 4299:1995</w:t>
            </w:r>
            <w:r w:rsidRPr="00273A95">
              <w:t> </w:t>
            </w:r>
          </w:p>
        </w:tc>
      </w:tr>
      <w:tr w:rsidR="00273A95" w:rsidRPr="00273A95" w:rsidTr="00D924D8">
        <w:tc>
          <w:tcPr>
            <w:tcW w:w="24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0" w:type="dxa"/>
            </w:tcMar>
            <w:hideMark/>
          </w:tcPr>
          <w:p w:rsidR="00273A95" w:rsidRPr="00273A95" w:rsidRDefault="00273A95" w:rsidP="00273A95">
            <w:pPr>
              <w:pStyle w:val="BodyText"/>
            </w:pPr>
            <w:r w:rsidRPr="00273A95">
              <w:t> Multi Dwelling Housing, Boarding Houses, Group</w:t>
            </w:r>
            <w:r w:rsidRPr="00273A95">
              <w:br/>
              <w:t>Homes and Hostels, excluding those in Warriewood Valley</w:t>
            </w:r>
          </w:p>
        </w:tc>
        <w:tc>
          <w:tcPr>
            <w:tcW w:w="103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0" w:type="dxa"/>
            </w:tcMar>
            <w:hideMark/>
          </w:tcPr>
          <w:p w:rsidR="00273A95" w:rsidRPr="00273A95" w:rsidRDefault="00273A95" w:rsidP="00273A95">
            <w:pPr>
              <w:pStyle w:val="BodyText"/>
            </w:pPr>
            <w:r w:rsidRPr="00273A95">
              <w:t> 50%</w:t>
            </w:r>
          </w:p>
        </w:tc>
        <w:tc>
          <w:tcPr>
            <w:tcW w:w="154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0" w:type="dxa"/>
            </w:tcMar>
            <w:hideMark/>
          </w:tcPr>
          <w:p w:rsidR="00273A95" w:rsidRPr="00273A95" w:rsidRDefault="00273A95" w:rsidP="00273A95">
            <w:pPr>
              <w:pStyle w:val="BodyText"/>
            </w:pPr>
            <w:r w:rsidRPr="00273A95">
              <w:t> Class B</w:t>
            </w:r>
          </w:p>
        </w:tc>
      </w:tr>
      <w:tr w:rsidR="00273A95" w:rsidRPr="00273A95" w:rsidTr="00D924D8">
        <w:tc>
          <w:tcPr>
            <w:tcW w:w="24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0" w:type="dxa"/>
            </w:tcMar>
            <w:hideMark/>
          </w:tcPr>
          <w:p w:rsidR="00273A95" w:rsidRPr="00273A95" w:rsidRDefault="00273A95" w:rsidP="00273A95">
            <w:pPr>
              <w:pStyle w:val="BodyText"/>
            </w:pPr>
            <w:r w:rsidRPr="00273A95">
              <w:t> Residential Flat Buildings, Shop Top housing and Mixed Use developments comprising residential accommodation.</w:t>
            </w:r>
          </w:p>
        </w:tc>
        <w:tc>
          <w:tcPr>
            <w:tcW w:w="103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0" w:type="dxa"/>
            </w:tcMar>
            <w:hideMark/>
          </w:tcPr>
          <w:p w:rsidR="00273A95" w:rsidRPr="00273A95" w:rsidRDefault="00273A95" w:rsidP="00273A95">
            <w:pPr>
              <w:pStyle w:val="BodyText"/>
            </w:pPr>
            <w:r w:rsidRPr="00273A95">
              <w:t> 20%</w:t>
            </w:r>
          </w:p>
        </w:tc>
        <w:tc>
          <w:tcPr>
            <w:tcW w:w="154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0" w:type="dxa"/>
            </w:tcMar>
            <w:hideMark/>
          </w:tcPr>
          <w:p w:rsidR="00273A95" w:rsidRPr="00273A95" w:rsidRDefault="00273A95" w:rsidP="00273A95">
            <w:pPr>
              <w:pStyle w:val="BodyText"/>
            </w:pPr>
            <w:r w:rsidRPr="00273A95">
              <w:t> Silver level of the</w:t>
            </w:r>
            <w:r w:rsidRPr="00273A95">
              <w:rPr>
                <w:i/>
                <w:iCs/>
              </w:rPr>
              <w:t> Liveable Housing Guideline</w:t>
            </w:r>
            <w:r w:rsidRPr="00273A95">
              <w:t>.</w:t>
            </w:r>
          </w:p>
        </w:tc>
      </w:tr>
      <w:tr w:rsidR="00273A95" w:rsidRPr="00273A95" w:rsidTr="00D924D8">
        <w:tc>
          <w:tcPr>
            <w:tcW w:w="24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0" w:type="dxa"/>
            </w:tcMar>
            <w:hideMark/>
          </w:tcPr>
          <w:p w:rsidR="00273A95" w:rsidRPr="00273A95" w:rsidRDefault="00273A95" w:rsidP="00273A95">
            <w:pPr>
              <w:pStyle w:val="BodyText"/>
            </w:pPr>
            <w:r w:rsidRPr="00273A95">
              <w:t> Residential development in Warriewood Valley not elsewhere identified in this table.</w:t>
            </w:r>
          </w:p>
        </w:tc>
        <w:tc>
          <w:tcPr>
            <w:tcW w:w="103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0" w:type="dxa"/>
            </w:tcMar>
            <w:hideMark/>
          </w:tcPr>
          <w:p w:rsidR="00273A95" w:rsidRPr="00273A95" w:rsidRDefault="00273A95" w:rsidP="00273A95">
            <w:pPr>
              <w:pStyle w:val="BodyText"/>
            </w:pPr>
            <w:r w:rsidRPr="00273A95">
              <w:t> 25%</w:t>
            </w:r>
          </w:p>
        </w:tc>
        <w:tc>
          <w:tcPr>
            <w:tcW w:w="154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0" w:type="dxa"/>
            </w:tcMar>
            <w:hideMark/>
          </w:tcPr>
          <w:p w:rsidR="00273A95" w:rsidRPr="00273A95" w:rsidRDefault="00273A95" w:rsidP="00273A95">
            <w:pPr>
              <w:pStyle w:val="BodyText"/>
            </w:pPr>
            <w:r w:rsidRPr="00273A95">
              <w:t> Class B</w:t>
            </w:r>
          </w:p>
        </w:tc>
      </w:tr>
      <w:tr w:rsidR="00273A95" w:rsidRPr="00273A95" w:rsidTr="00D924D8">
        <w:tc>
          <w:tcPr>
            <w:tcW w:w="2427"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0" w:type="dxa"/>
            </w:tcMar>
            <w:hideMark/>
          </w:tcPr>
          <w:p w:rsidR="00273A95" w:rsidRPr="00273A95" w:rsidRDefault="00273A95" w:rsidP="00273A95">
            <w:pPr>
              <w:pStyle w:val="BodyText"/>
            </w:pPr>
            <w:r w:rsidRPr="00273A95">
              <w:t> Seniors Living</w:t>
            </w:r>
          </w:p>
        </w:tc>
        <w:tc>
          <w:tcPr>
            <w:tcW w:w="1031"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0" w:type="dxa"/>
            </w:tcMar>
            <w:hideMark/>
          </w:tcPr>
          <w:p w:rsidR="00273A95" w:rsidRPr="00273A95" w:rsidRDefault="00273A95" w:rsidP="00273A95">
            <w:pPr>
              <w:pStyle w:val="BodyText"/>
            </w:pPr>
            <w:r w:rsidRPr="00273A95">
              <w:t> 100%</w:t>
            </w:r>
          </w:p>
        </w:tc>
        <w:tc>
          <w:tcPr>
            <w:tcW w:w="1542" w:type="pct"/>
            <w:tcBorders>
              <w:top w:val="outset" w:sz="6" w:space="0" w:color="auto"/>
              <w:left w:val="outset" w:sz="6" w:space="0" w:color="auto"/>
              <w:bottom w:val="outset" w:sz="6" w:space="0" w:color="auto"/>
              <w:right w:val="outset" w:sz="6" w:space="0" w:color="auto"/>
            </w:tcBorders>
            <w:shd w:val="clear" w:color="auto" w:fill="FFFFFF"/>
            <w:tcMar>
              <w:top w:w="0" w:type="dxa"/>
              <w:left w:w="0" w:type="dxa"/>
              <w:bottom w:w="0" w:type="dxa"/>
              <w:right w:w="30" w:type="dxa"/>
            </w:tcMar>
            <w:hideMark/>
          </w:tcPr>
          <w:p w:rsidR="00273A95" w:rsidRPr="00273A95" w:rsidRDefault="00273A95" w:rsidP="00273A95">
            <w:pPr>
              <w:pStyle w:val="BodyText"/>
            </w:pPr>
            <w:r w:rsidRPr="00273A95">
              <w:t> Per the requirements of the </w:t>
            </w:r>
            <w:r w:rsidRPr="00273A95">
              <w:rPr>
                <w:i/>
                <w:iCs/>
              </w:rPr>
              <w:t>State Environmental Planning Policy (Housing for Seniors or People with a Disability) 2004</w:t>
            </w:r>
          </w:p>
        </w:tc>
      </w:tr>
    </w:tbl>
    <w:p w:rsidR="00273A95" w:rsidRPr="00273A95" w:rsidRDefault="00273A95" w:rsidP="00273A95">
      <w:pPr>
        <w:pStyle w:val="BodyText"/>
      </w:pPr>
      <w:r w:rsidRPr="00273A95">
        <w:br/>
        <w:t>The development application must be accompanied by certification from an accredited access consultant confirming that the nominated adaptable dwellings are capable of being modified, when required by the occupant, to comply with </w:t>
      </w:r>
      <w:r w:rsidRPr="00273A95">
        <w:rPr>
          <w:i/>
          <w:iCs/>
        </w:rPr>
        <w:t>AS 4299:1995 </w:t>
      </w:r>
    </w:p>
    <w:p w:rsidR="003A569C" w:rsidRDefault="003A569C" w:rsidP="00273A95">
      <w:pPr>
        <w:pStyle w:val="BodyText"/>
        <w:rPr>
          <w:b/>
        </w:rPr>
      </w:pPr>
    </w:p>
    <w:p w:rsidR="00273A95" w:rsidRPr="003A569C" w:rsidRDefault="003A569C" w:rsidP="00273A95">
      <w:pPr>
        <w:pStyle w:val="BodyText"/>
        <w:rPr>
          <w:b/>
        </w:rPr>
      </w:pPr>
      <w:r w:rsidRPr="003A569C">
        <w:rPr>
          <w:b/>
        </w:rPr>
        <w:t xml:space="preserve">C: </w:t>
      </w:r>
      <w:r w:rsidR="00273A95" w:rsidRPr="003A569C">
        <w:rPr>
          <w:b/>
        </w:rPr>
        <w:t xml:space="preserve">Warringah DCP 2011 </w:t>
      </w:r>
      <w:r w:rsidRPr="003A569C">
        <w:rPr>
          <w:b/>
        </w:rPr>
        <w:t xml:space="preserve">(Dee Why Town Centre </w:t>
      </w:r>
      <w:r w:rsidR="00273A95" w:rsidRPr="003A569C">
        <w:rPr>
          <w:b/>
        </w:rPr>
        <w:t>only)</w:t>
      </w:r>
    </w:p>
    <w:p w:rsidR="00273A95" w:rsidRPr="00273A95" w:rsidRDefault="00273A95" w:rsidP="00273A95">
      <w:pPr>
        <w:pStyle w:val="BodyText"/>
      </w:pPr>
      <w:r w:rsidRPr="00273A95">
        <w:rPr>
          <w:b/>
        </w:rPr>
        <w:t>Part G1 – Section 5 Design and Architectural Diversity – Housing – Paragraph 4</w:t>
      </w:r>
      <w:r w:rsidR="003A569C">
        <w:rPr>
          <w:b/>
        </w:rPr>
        <w:t>*</w:t>
      </w:r>
    </w:p>
    <w:p w:rsidR="00273A95" w:rsidRPr="00273A95" w:rsidRDefault="00273A95" w:rsidP="00273A95">
      <w:pPr>
        <w:pStyle w:val="BodyText"/>
      </w:pPr>
      <w:r w:rsidRPr="00273A95">
        <w:t>Where a development comprises at least 5 dwellings, 10% (rounded up to next whole number) of dwellings shall be capable of being adapted (Class C) under AS4299</w:t>
      </w:r>
      <w:r w:rsidR="003A569C">
        <w:t xml:space="preserve">. </w:t>
      </w:r>
      <w:r w:rsidRPr="00273A95">
        <w:t>Evidence of compliance with the Adaptable Housing Class C requirements of AS 4299 shall be submitted when lodging a DA and certified by an experienced and qualified housing professional (e.g. Architect or Accredited Building Certifier)</w:t>
      </w:r>
    </w:p>
    <w:p w:rsidR="00CA4E7F" w:rsidRPr="002A1E92" w:rsidRDefault="003A569C" w:rsidP="002A1E92">
      <w:pPr>
        <w:pStyle w:val="BodyText"/>
      </w:pPr>
      <w:r>
        <w:t>*Note: the above provision for Warringah DCP 2011 was adopted by Council at its Ordinary Meeting on 26 February 2019 but is are not due to commence until the Amending LEP for Dee Why Town Centre is published. This provisions for Dee Why is identical to the proposed provision to apply for all medium and high density residential development under Warringah DCP 2011.</w:t>
      </w:r>
    </w:p>
    <w:sectPr w:rsidR="00CA4E7F" w:rsidRPr="002A1E92" w:rsidSect="00247560">
      <w:pgSz w:w="11906" w:h="16838" w:code="9"/>
      <w:pgMar w:top="1134"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EEA" w:rsidRDefault="00264EEA" w:rsidP="008E54E4">
      <w:r>
        <w:separator/>
      </w:r>
    </w:p>
  </w:endnote>
  <w:endnote w:type="continuationSeparator" w:id="0">
    <w:p w:rsidR="00264EEA" w:rsidRDefault="00264EEA" w:rsidP="008E5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EEA" w:rsidRDefault="00264EEA" w:rsidP="008E54E4">
      <w:r>
        <w:separator/>
      </w:r>
    </w:p>
  </w:footnote>
  <w:footnote w:type="continuationSeparator" w:id="0">
    <w:p w:rsidR="00264EEA" w:rsidRDefault="00264EEA" w:rsidP="008E5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A64C1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CC3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A4ABA2"/>
    <w:lvl w:ilvl="0">
      <w:start w:val="1"/>
      <w:numFmt w:val="lowerRoman"/>
      <w:pStyle w:val="ListNumber3"/>
      <w:lvlText w:val="%1)"/>
      <w:lvlJc w:val="left"/>
      <w:pPr>
        <w:tabs>
          <w:tab w:val="num" w:pos="1701"/>
        </w:tabs>
        <w:ind w:left="1701" w:hanging="567"/>
      </w:pPr>
      <w:rPr>
        <w:rFonts w:hint="default"/>
      </w:rPr>
    </w:lvl>
  </w:abstractNum>
  <w:abstractNum w:abstractNumId="3" w15:restartNumberingAfterBreak="0">
    <w:nsid w:val="FFFFFF7F"/>
    <w:multiLevelType w:val="singleLevel"/>
    <w:tmpl w:val="DBDE54E6"/>
    <w:lvl w:ilvl="0">
      <w:start w:val="1"/>
      <w:numFmt w:val="lowerLetter"/>
      <w:pStyle w:val="ListNumber2"/>
      <w:lvlText w:val="%1)"/>
      <w:lvlJc w:val="left"/>
      <w:pPr>
        <w:tabs>
          <w:tab w:val="num" w:pos="1134"/>
        </w:tabs>
        <w:ind w:left="1134" w:hanging="567"/>
      </w:pPr>
      <w:rPr>
        <w:rFonts w:hint="default"/>
      </w:rPr>
    </w:lvl>
  </w:abstractNum>
  <w:abstractNum w:abstractNumId="4" w15:restartNumberingAfterBreak="0">
    <w:nsid w:val="FFFFFF80"/>
    <w:multiLevelType w:val="singleLevel"/>
    <w:tmpl w:val="CB2E3A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C200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B416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0500F1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BC44C4C"/>
    <w:lvl w:ilvl="0">
      <w:start w:val="1"/>
      <w:numFmt w:val="decimal"/>
      <w:pStyle w:val="ListNumber"/>
      <w:lvlText w:val="%1."/>
      <w:lvlJc w:val="left"/>
      <w:pPr>
        <w:tabs>
          <w:tab w:val="num" w:pos="567"/>
        </w:tabs>
        <w:ind w:left="567" w:hanging="567"/>
      </w:pPr>
      <w:rPr>
        <w:rFonts w:hint="default"/>
      </w:rPr>
    </w:lvl>
  </w:abstractNum>
  <w:abstractNum w:abstractNumId="9" w15:restartNumberingAfterBreak="0">
    <w:nsid w:val="FFFFFF89"/>
    <w:multiLevelType w:val="singleLevel"/>
    <w:tmpl w:val="F2649D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B078E"/>
    <w:multiLevelType w:val="hybridMultilevel"/>
    <w:tmpl w:val="E12E3CA2"/>
    <w:lvl w:ilvl="0" w:tplc="1A127DC8">
      <w:start w:val="1"/>
      <w:numFmt w:val="bullet"/>
      <w:pStyle w:val="TableBullet1"/>
      <w:lvlText w:val=""/>
      <w:lvlJc w:val="left"/>
      <w:pPr>
        <w:tabs>
          <w:tab w:val="num" w:pos="284"/>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4E153F9"/>
    <w:multiLevelType w:val="hybridMultilevel"/>
    <w:tmpl w:val="54E8B9DA"/>
    <w:lvl w:ilvl="0" w:tplc="685E4D0A">
      <w:start w:val="1"/>
      <w:numFmt w:val="bullet"/>
      <w:pStyle w:val="Bullet1"/>
      <w:lvlText w:val=""/>
      <w:lvlJc w:val="left"/>
      <w:pPr>
        <w:tabs>
          <w:tab w:val="num" w:pos="1134"/>
        </w:tabs>
        <w:ind w:left="1134"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7D05B1"/>
    <w:multiLevelType w:val="hybridMultilevel"/>
    <w:tmpl w:val="FDD460E8"/>
    <w:lvl w:ilvl="0" w:tplc="B8DAFED2">
      <w:start w:val="1"/>
      <w:numFmt w:val="decimal"/>
      <w:pStyle w:val="TableListNumber"/>
      <w:lvlText w:val="%1."/>
      <w:lvlJc w:val="left"/>
      <w:pPr>
        <w:tabs>
          <w:tab w:val="num" w:pos="284"/>
        </w:tabs>
        <w:ind w:left="284" w:hanging="284"/>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2B8B3D52"/>
    <w:multiLevelType w:val="multilevel"/>
    <w:tmpl w:val="B048341C"/>
    <w:lvl w:ilvl="0">
      <w:start w:val="1"/>
      <w:numFmt w:val="none"/>
      <w:suff w:val="nothing"/>
      <w:lvlText w:val="%1"/>
      <w:lvlJc w:val="left"/>
      <w:pPr>
        <w:ind w:left="567" w:hanging="567"/>
      </w:pPr>
      <w:rPr>
        <w:rFonts w:cs="Arial" w:hint="default"/>
      </w:rPr>
    </w:lvl>
    <w:lvl w:ilvl="1">
      <w:start w:val="1"/>
      <w:numFmt w:val="decimal"/>
      <w:lvlText w:val="%1%2"/>
      <w:lvlJc w:val="left"/>
      <w:pPr>
        <w:tabs>
          <w:tab w:val="num" w:pos="567"/>
        </w:tabs>
        <w:ind w:left="567" w:hanging="567"/>
      </w:pPr>
      <w:rPr>
        <w:rFonts w:cs="Arial" w:hint="default"/>
      </w:rPr>
    </w:lvl>
    <w:lvl w:ilvl="2">
      <w:start w:val="1"/>
      <w:numFmt w:val="decimal"/>
      <w:lvlText w:val="%2.%3"/>
      <w:lvlJc w:val="left"/>
      <w:pPr>
        <w:tabs>
          <w:tab w:val="num" w:pos="567"/>
        </w:tabs>
        <w:ind w:left="567" w:hanging="567"/>
      </w:pPr>
      <w:rPr>
        <w:rFonts w:cs="Arial" w:hint="default"/>
      </w:rPr>
    </w:lvl>
    <w:lvl w:ilvl="3">
      <w:start w:val="1"/>
      <w:numFmt w:val="lowerLetter"/>
      <w:lvlText w:val="%4)"/>
      <w:lvlJc w:val="left"/>
      <w:pPr>
        <w:tabs>
          <w:tab w:val="num" w:pos="1134"/>
        </w:tabs>
        <w:ind w:left="1134" w:hanging="567"/>
      </w:pPr>
      <w:rPr>
        <w:rFonts w:cs="Arial" w:hint="default"/>
      </w:rPr>
    </w:lvl>
    <w:lvl w:ilvl="4">
      <w:start w:val="1"/>
      <w:numFmt w:val="lowerRoman"/>
      <w:lvlText w:val="%5)"/>
      <w:lvlJc w:val="left"/>
      <w:pPr>
        <w:tabs>
          <w:tab w:val="num" w:pos="1701"/>
        </w:tabs>
        <w:ind w:left="1701" w:hanging="567"/>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4" w15:restartNumberingAfterBreak="0">
    <w:nsid w:val="3586116D"/>
    <w:multiLevelType w:val="multilevel"/>
    <w:tmpl w:val="276A5F36"/>
    <w:lvl w:ilvl="0">
      <w:start w:val="1"/>
      <w:numFmt w:val="none"/>
      <w:pStyle w:val="Heading1"/>
      <w:suff w:val="nothing"/>
      <w:lvlText w:val="%1"/>
      <w:lvlJc w:val="left"/>
      <w:pPr>
        <w:ind w:left="0" w:firstLine="0"/>
      </w:pPr>
      <w:rPr>
        <w:rFonts w:cs="Arial" w:hint="default"/>
      </w:rPr>
    </w:lvl>
    <w:lvl w:ilvl="1">
      <w:start w:val="1"/>
      <w:numFmt w:val="decimal"/>
      <w:pStyle w:val="Heading4"/>
      <w:lvlText w:val="%1%2"/>
      <w:lvlJc w:val="left"/>
      <w:pPr>
        <w:tabs>
          <w:tab w:val="num" w:pos="567"/>
        </w:tabs>
        <w:ind w:left="567" w:hanging="567"/>
      </w:pPr>
      <w:rPr>
        <w:rFonts w:cs="Arial" w:hint="default"/>
      </w:rPr>
    </w:lvl>
    <w:lvl w:ilvl="2">
      <w:start w:val="1"/>
      <w:numFmt w:val="decimal"/>
      <w:pStyle w:val="Heading5"/>
      <w:lvlText w:val="%2.%3"/>
      <w:lvlJc w:val="left"/>
      <w:pPr>
        <w:tabs>
          <w:tab w:val="num" w:pos="567"/>
        </w:tabs>
        <w:ind w:left="567" w:hanging="567"/>
      </w:pPr>
      <w:rPr>
        <w:rFonts w:cs="Arial" w:hint="default"/>
      </w:rPr>
    </w:lvl>
    <w:lvl w:ilvl="3">
      <w:start w:val="1"/>
      <w:numFmt w:val="lowerLetter"/>
      <w:pStyle w:val="Heading6"/>
      <w:lvlText w:val="%4)"/>
      <w:lvlJc w:val="left"/>
      <w:pPr>
        <w:tabs>
          <w:tab w:val="num" w:pos="1134"/>
        </w:tabs>
        <w:ind w:left="1134" w:hanging="567"/>
      </w:pPr>
      <w:rPr>
        <w:rFonts w:cs="Arial" w:hint="default"/>
      </w:rPr>
    </w:lvl>
    <w:lvl w:ilvl="4">
      <w:start w:val="1"/>
      <w:numFmt w:val="lowerRoman"/>
      <w:pStyle w:val="Heading7"/>
      <w:lvlText w:val="%5)"/>
      <w:lvlJc w:val="left"/>
      <w:pPr>
        <w:tabs>
          <w:tab w:val="num" w:pos="1701"/>
        </w:tabs>
        <w:ind w:left="1701" w:hanging="567"/>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1800"/>
        </w:tabs>
        <w:ind w:left="1800" w:hanging="1800"/>
      </w:pPr>
      <w:rPr>
        <w:rFonts w:cs="Arial" w:hint="default"/>
      </w:rPr>
    </w:lvl>
  </w:abstractNum>
  <w:abstractNum w:abstractNumId="15" w15:restartNumberingAfterBreak="0">
    <w:nsid w:val="521E0DA9"/>
    <w:multiLevelType w:val="hybridMultilevel"/>
    <w:tmpl w:val="7EF28184"/>
    <w:lvl w:ilvl="0" w:tplc="AF92E4A2">
      <w:start w:val="1"/>
      <w:numFmt w:val="bullet"/>
      <w:pStyle w:val="Bullet2"/>
      <w:lvlText w:val=""/>
      <w:lvlJc w:val="left"/>
      <w:pPr>
        <w:tabs>
          <w:tab w:val="num" w:pos="1701"/>
        </w:tabs>
        <w:ind w:left="1701"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AB6367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3B5E59"/>
    <w:multiLevelType w:val="hybridMultilevel"/>
    <w:tmpl w:val="AECE9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4"/>
  </w:num>
  <w:num w:numId="4">
    <w:abstractNumId w:val="14"/>
  </w:num>
  <w:num w:numId="5">
    <w:abstractNumId w:val="14"/>
  </w:num>
  <w:num w:numId="6">
    <w:abstractNumId w:val="14"/>
  </w:num>
  <w:num w:numId="7">
    <w:abstractNumId w:val="8"/>
  </w:num>
  <w:num w:numId="8">
    <w:abstractNumId w:val="8"/>
  </w:num>
  <w:num w:numId="9">
    <w:abstractNumId w:val="3"/>
  </w:num>
  <w:num w:numId="10">
    <w:abstractNumId w:val="3"/>
  </w:num>
  <w:num w:numId="11">
    <w:abstractNumId w:val="2"/>
  </w:num>
  <w:num w:numId="12">
    <w:abstractNumId w:val="2"/>
  </w:num>
  <w:num w:numId="13">
    <w:abstractNumId w:val="10"/>
  </w:num>
  <w:num w:numId="14">
    <w:abstractNumId w:val="12"/>
  </w:num>
  <w:num w:numId="15">
    <w:abstractNumId w:val="10"/>
  </w:num>
  <w:num w:numId="16">
    <w:abstractNumId w:val="12"/>
  </w:num>
  <w:num w:numId="17">
    <w:abstractNumId w:val="14"/>
  </w:num>
  <w:num w:numId="18">
    <w:abstractNumId w:val="14"/>
  </w:num>
  <w:num w:numId="19">
    <w:abstractNumId w:val="14"/>
  </w:num>
  <w:num w:numId="20">
    <w:abstractNumId w:val="14"/>
  </w:num>
  <w:num w:numId="21">
    <w:abstractNumId w:val="14"/>
  </w:num>
  <w:num w:numId="22">
    <w:abstractNumId w:val="13"/>
  </w:num>
  <w:num w:numId="23">
    <w:abstractNumId w:val="16"/>
  </w:num>
  <w:num w:numId="24">
    <w:abstractNumId w:val="9"/>
  </w:num>
  <w:num w:numId="25">
    <w:abstractNumId w:val="7"/>
  </w:num>
  <w:num w:numId="26">
    <w:abstractNumId w:val="6"/>
  </w:num>
  <w:num w:numId="27">
    <w:abstractNumId w:val="5"/>
  </w:num>
  <w:num w:numId="28">
    <w:abstractNumId w:val="4"/>
  </w:num>
  <w:num w:numId="29">
    <w:abstractNumId w:val="1"/>
  </w:num>
  <w:num w:numId="30">
    <w:abstractNumId w:val="0"/>
  </w:num>
  <w:num w:numId="31">
    <w:abstractNumId w:val="14"/>
  </w:num>
  <w:num w:numId="32">
    <w:abstractNumId w:val="14"/>
  </w:num>
  <w:num w:numId="33">
    <w:abstractNumId w:val="14"/>
  </w:num>
  <w:num w:numId="34">
    <w:abstractNumId w:val="14"/>
  </w:num>
  <w:num w:numId="35">
    <w:abstractNumId w:val="14"/>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A95"/>
    <w:rsid w:val="00065E60"/>
    <w:rsid w:val="000E0068"/>
    <w:rsid w:val="00105241"/>
    <w:rsid w:val="001360AE"/>
    <w:rsid w:val="001C1771"/>
    <w:rsid w:val="001D6661"/>
    <w:rsid w:val="001E585B"/>
    <w:rsid w:val="0022601A"/>
    <w:rsid w:val="00247560"/>
    <w:rsid w:val="00264EEA"/>
    <w:rsid w:val="00267C42"/>
    <w:rsid w:val="00273A95"/>
    <w:rsid w:val="002A1E92"/>
    <w:rsid w:val="002E6C18"/>
    <w:rsid w:val="0031641C"/>
    <w:rsid w:val="00346047"/>
    <w:rsid w:val="003821E8"/>
    <w:rsid w:val="003A569C"/>
    <w:rsid w:val="003A645C"/>
    <w:rsid w:val="00404065"/>
    <w:rsid w:val="00407F87"/>
    <w:rsid w:val="004222D2"/>
    <w:rsid w:val="004635B2"/>
    <w:rsid w:val="00464066"/>
    <w:rsid w:val="004A17B8"/>
    <w:rsid w:val="005C3983"/>
    <w:rsid w:val="006161C5"/>
    <w:rsid w:val="00664F27"/>
    <w:rsid w:val="00725A96"/>
    <w:rsid w:val="00736257"/>
    <w:rsid w:val="007D5D57"/>
    <w:rsid w:val="007E7E8C"/>
    <w:rsid w:val="007F58BD"/>
    <w:rsid w:val="00862FF4"/>
    <w:rsid w:val="008718D5"/>
    <w:rsid w:val="00871BFA"/>
    <w:rsid w:val="008C6AB3"/>
    <w:rsid w:val="008E54E4"/>
    <w:rsid w:val="00946331"/>
    <w:rsid w:val="00987FE7"/>
    <w:rsid w:val="009C165B"/>
    <w:rsid w:val="00A00127"/>
    <w:rsid w:val="00A510C8"/>
    <w:rsid w:val="00AC30DA"/>
    <w:rsid w:val="00B42601"/>
    <w:rsid w:val="00B4274F"/>
    <w:rsid w:val="00B558E6"/>
    <w:rsid w:val="00B66305"/>
    <w:rsid w:val="00BC0A6A"/>
    <w:rsid w:val="00BC77BE"/>
    <w:rsid w:val="00C0633A"/>
    <w:rsid w:val="00C35F84"/>
    <w:rsid w:val="00C57391"/>
    <w:rsid w:val="00CA4E7F"/>
    <w:rsid w:val="00D07A59"/>
    <w:rsid w:val="00D17C10"/>
    <w:rsid w:val="00D366B5"/>
    <w:rsid w:val="00DF0098"/>
    <w:rsid w:val="00DF15BC"/>
    <w:rsid w:val="00E00BE3"/>
    <w:rsid w:val="00E0177D"/>
    <w:rsid w:val="00E43BF1"/>
    <w:rsid w:val="00E605DD"/>
    <w:rsid w:val="00E7626F"/>
    <w:rsid w:val="00EC77EE"/>
    <w:rsid w:val="00ED0522"/>
    <w:rsid w:val="00EF2455"/>
    <w:rsid w:val="00FE14FB"/>
    <w:rsid w:val="00FF69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87BEC78-817D-42A4-A42A-10E515987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71BFA"/>
    <w:rPr>
      <w:rFonts w:ascii="Arial" w:hAnsi="Arial"/>
      <w:sz w:val="22"/>
      <w:szCs w:val="24"/>
    </w:rPr>
  </w:style>
  <w:style w:type="paragraph" w:styleId="Heading1">
    <w:name w:val="heading 1"/>
    <w:basedOn w:val="Normal"/>
    <w:next w:val="BodyText"/>
    <w:qFormat/>
    <w:rsid w:val="00871BFA"/>
    <w:pPr>
      <w:keepNext/>
      <w:numPr>
        <w:numId w:val="35"/>
      </w:numPr>
      <w:spacing w:after="100"/>
      <w:outlineLvl w:val="0"/>
    </w:pPr>
    <w:rPr>
      <w:b/>
      <w:sz w:val="30"/>
      <w:szCs w:val="20"/>
      <w:lang w:eastAsia="en-US"/>
    </w:rPr>
  </w:style>
  <w:style w:type="paragraph" w:styleId="Heading2">
    <w:name w:val="heading 2"/>
    <w:basedOn w:val="Normal"/>
    <w:next w:val="BodyText"/>
    <w:qFormat/>
    <w:rsid w:val="00871BFA"/>
    <w:pPr>
      <w:spacing w:after="100"/>
      <w:outlineLvl w:val="1"/>
    </w:pPr>
    <w:rPr>
      <w:rFonts w:cs="Arial"/>
      <w:b/>
      <w:bCs/>
      <w:iCs/>
      <w:sz w:val="26"/>
      <w:szCs w:val="28"/>
    </w:rPr>
  </w:style>
  <w:style w:type="paragraph" w:styleId="Heading3">
    <w:name w:val="heading 3"/>
    <w:basedOn w:val="Normal"/>
    <w:next w:val="BodyText"/>
    <w:qFormat/>
    <w:rsid w:val="00871BFA"/>
    <w:pPr>
      <w:spacing w:after="100"/>
      <w:outlineLvl w:val="2"/>
    </w:pPr>
    <w:rPr>
      <w:rFonts w:cs="Arial"/>
      <w:b/>
      <w:bCs/>
      <w:sz w:val="24"/>
      <w:szCs w:val="26"/>
    </w:rPr>
  </w:style>
  <w:style w:type="paragraph" w:styleId="Heading4">
    <w:name w:val="heading 4"/>
    <w:basedOn w:val="Normal"/>
    <w:next w:val="BodyText"/>
    <w:qFormat/>
    <w:rsid w:val="00A510C8"/>
    <w:pPr>
      <w:numPr>
        <w:ilvl w:val="1"/>
        <w:numId w:val="35"/>
      </w:numPr>
      <w:spacing w:after="100"/>
      <w:outlineLvl w:val="3"/>
    </w:pPr>
    <w:rPr>
      <w:b/>
      <w:bCs/>
      <w:szCs w:val="28"/>
    </w:rPr>
  </w:style>
  <w:style w:type="paragraph" w:styleId="Heading5">
    <w:name w:val="heading 5"/>
    <w:basedOn w:val="Normal"/>
    <w:next w:val="BodyText"/>
    <w:qFormat/>
    <w:rsid w:val="00A510C8"/>
    <w:pPr>
      <w:numPr>
        <w:ilvl w:val="2"/>
        <w:numId w:val="35"/>
      </w:numPr>
      <w:spacing w:after="100"/>
      <w:outlineLvl w:val="4"/>
    </w:pPr>
    <w:rPr>
      <w:bCs/>
      <w:iCs/>
      <w:szCs w:val="26"/>
    </w:rPr>
  </w:style>
  <w:style w:type="paragraph" w:styleId="Heading6">
    <w:name w:val="heading 6"/>
    <w:basedOn w:val="Normal"/>
    <w:next w:val="BodyText"/>
    <w:qFormat/>
    <w:rsid w:val="00D07A59"/>
    <w:pPr>
      <w:numPr>
        <w:ilvl w:val="3"/>
        <w:numId w:val="35"/>
      </w:numPr>
      <w:spacing w:after="100"/>
      <w:outlineLvl w:val="5"/>
    </w:pPr>
    <w:rPr>
      <w:bCs/>
      <w:szCs w:val="22"/>
    </w:rPr>
  </w:style>
  <w:style w:type="paragraph" w:styleId="Heading7">
    <w:name w:val="heading 7"/>
    <w:basedOn w:val="Normal"/>
    <w:next w:val="BodyText"/>
    <w:qFormat/>
    <w:rsid w:val="00D07A59"/>
    <w:pPr>
      <w:numPr>
        <w:ilvl w:val="4"/>
        <w:numId w:val="35"/>
      </w:numPr>
      <w:spacing w:after="10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8C6AB3"/>
    <w:pPr>
      <w:spacing w:after="180"/>
    </w:pPr>
  </w:style>
  <w:style w:type="paragraph" w:customStyle="1" w:styleId="Bullet1">
    <w:name w:val="Bullet 1"/>
    <w:basedOn w:val="Normal"/>
    <w:qFormat/>
    <w:rsid w:val="008C6AB3"/>
    <w:pPr>
      <w:numPr>
        <w:numId w:val="1"/>
      </w:numPr>
      <w:spacing w:after="180"/>
    </w:pPr>
  </w:style>
  <w:style w:type="paragraph" w:customStyle="1" w:styleId="Bullet2">
    <w:name w:val="Bullet 2"/>
    <w:basedOn w:val="Normal"/>
    <w:qFormat/>
    <w:rsid w:val="008C6AB3"/>
    <w:pPr>
      <w:numPr>
        <w:numId w:val="2"/>
      </w:numPr>
    </w:pPr>
    <w:rPr>
      <w:lang w:eastAsia="en-US"/>
    </w:rPr>
  </w:style>
  <w:style w:type="paragraph" w:styleId="Footer">
    <w:name w:val="footer"/>
    <w:basedOn w:val="Normal"/>
    <w:rsid w:val="003A645C"/>
    <w:pPr>
      <w:tabs>
        <w:tab w:val="right" w:pos="9639"/>
      </w:tabs>
    </w:pPr>
    <w:rPr>
      <w:sz w:val="18"/>
    </w:rPr>
  </w:style>
  <w:style w:type="paragraph" w:styleId="Header">
    <w:name w:val="header"/>
    <w:basedOn w:val="Normal"/>
    <w:rsid w:val="008C6AB3"/>
    <w:pPr>
      <w:tabs>
        <w:tab w:val="center" w:pos="4320"/>
        <w:tab w:val="right" w:pos="8640"/>
      </w:tabs>
    </w:pPr>
    <w:rPr>
      <w:rFonts w:cs="Arial"/>
      <w:szCs w:val="22"/>
      <w:lang w:eastAsia="en-US"/>
    </w:rPr>
  </w:style>
  <w:style w:type="paragraph" w:styleId="ListNumber">
    <w:name w:val="List Number"/>
    <w:basedOn w:val="Normal"/>
    <w:qFormat/>
    <w:rsid w:val="00A510C8"/>
    <w:pPr>
      <w:numPr>
        <w:numId w:val="8"/>
      </w:numPr>
      <w:spacing w:after="180"/>
    </w:pPr>
  </w:style>
  <w:style w:type="paragraph" w:styleId="ListNumber2">
    <w:name w:val="List Number 2"/>
    <w:basedOn w:val="Normal"/>
    <w:qFormat/>
    <w:rsid w:val="00A510C8"/>
    <w:pPr>
      <w:numPr>
        <w:numId w:val="10"/>
      </w:numPr>
      <w:spacing w:after="180"/>
    </w:pPr>
  </w:style>
  <w:style w:type="paragraph" w:styleId="ListNumber3">
    <w:name w:val="List Number 3"/>
    <w:basedOn w:val="Normal"/>
    <w:qFormat/>
    <w:rsid w:val="00A510C8"/>
    <w:pPr>
      <w:numPr>
        <w:numId w:val="12"/>
      </w:numPr>
      <w:spacing w:after="180"/>
    </w:pPr>
  </w:style>
  <w:style w:type="paragraph" w:customStyle="1" w:styleId="TableBullet1">
    <w:name w:val="Table Bullet 1"/>
    <w:basedOn w:val="Normal"/>
    <w:rsid w:val="00E7626F"/>
    <w:pPr>
      <w:numPr>
        <w:numId w:val="15"/>
      </w:numPr>
    </w:pPr>
  </w:style>
  <w:style w:type="paragraph" w:customStyle="1" w:styleId="TableHeading">
    <w:name w:val="Table Heading"/>
    <w:basedOn w:val="Normal"/>
    <w:next w:val="Normal"/>
    <w:rsid w:val="000E0068"/>
    <w:pPr>
      <w:spacing w:before="60" w:after="60"/>
    </w:pPr>
    <w:rPr>
      <w:rFonts w:ascii="Arial Bold" w:hAnsi="Arial Bold"/>
      <w:b/>
      <w:caps/>
      <w:sz w:val="18"/>
      <w:szCs w:val="18"/>
    </w:rPr>
  </w:style>
  <w:style w:type="paragraph" w:customStyle="1" w:styleId="TableHeadings">
    <w:name w:val="Table Headings"/>
    <w:basedOn w:val="Normal"/>
    <w:rsid w:val="000E0068"/>
    <w:rPr>
      <w:rFonts w:ascii="Arial Bold" w:hAnsi="Arial Bold"/>
      <w:b/>
      <w:szCs w:val="16"/>
    </w:rPr>
  </w:style>
  <w:style w:type="table" w:customStyle="1" w:styleId="TableHorizontal">
    <w:name w:val="Table Horizontal"/>
    <w:basedOn w:val="TableNormal"/>
    <w:rsid w:val="000E0068"/>
    <w:rPr>
      <w:rFonts w:ascii="Arial" w:hAnsi="Arial"/>
    </w:rPr>
    <w:tblPr>
      <w:tblBorders>
        <w:top w:val="single" w:sz="4" w:space="0" w:color="808080"/>
        <w:bottom w:val="single" w:sz="4" w:space="0" w:color="808080"/>
        <w:insideH w:val="single" w:sz="4" w:space="0" w:color="808080"/>
        <w:insideV w:val="single" w:sz="4" w:space="0" w:color="005577"/>
      </w:tblBorders>
      <w:tblCellMar>
        <w:top w:w="28" w:type="dxa"/>
        <w:bottom w:w="28" w:type="dxa"/>
        <w:right w:w="57" w:type="dxa"/>
      </w:tblCellMar>
    </w:tblPr>
    <w:tcPr>
      <w:shd w:val="clear" w:color="auto" w:fill="auto"/>
    </w:tcPr>
    <w:tblStylePr w:type="firstRow">
      <w:rPr>
        <w:rFonts w:ascii="Calibri" w:hAnsi="Calibri"/>
        <w:b/>
        <w:i w:val="0"/>
        <w:caps w:val="0"/>
        <w:smallCaps w:val="0"/>
        <w:color w:val="auto"/>
        <w:sz w:val="16"/>
        <w:szCs w:val="16"/>
      </w:rPr>
      <w:tblPr/>
      <w:tcPr>
        <w:tcBorders>
          <w:top w:val="nil"/>
          <w:left w:val="nil"/>
          <w:bottom w:val="nil"/>
          <w:right w:val="nil"/>
          <w:insideH w:val="nil"/>
          <w:insideV w:val="nil"/>
          <w:tl2br w:val="nil"/>
          <w:tr2bl w:val="nil"/>
        </w:tcBorders>
        <w:shd w:val="clear" w:color="auto" w:fill="CCCCCC"/>
        <w:vAlign w:val="center"/>
      </w:tcPr>
    </w:tblStylePr>
  </w:style>
  <w:style w:type="paragraph" w:customStyle="1" w:styleId="TableListNumber">
    <w:name w:val="Table List Number"/>
    <w:basedOn w:val="Normal"/>
    <w:rsid w:val="00E7626F"/>
    <w:pPr>
      <w:numPr>
        <w:numId w:val="16"/>
      </w:numPr>
    </w:pPr>
  </w:style>
  <w:style w:type="paragraph" w:customStyle="1" w:styleId="TableSource">
    <w:name w:val="Table Source"/>
    <w:basedOn w:val="Normal"/>
    <w:next w:val="BodyText"/>
    <w:rsid w:val="00E7626F"/>
    <w:pPr>
      <w:spacing w:before="60" w:after="180"/>
    </w:pPr>
    <w:rPr>
      <w:rFonts w:ascii="Arial Bold" w:hAnsi="Arial Bold"/>
      <w:b/>
      <w:color w:val="808080"/>
      <w:sz w:val="14"/>
      <w:szCs w:val="14"/>
    </w:rPr>
  </w:style>
  <w:style w:type="paragraph" w:customStyle="1" w:styleId="TableText">
    <w:name w:val="Table Text"/>
    <w:basedOn w:val="Normal"/>
    <w:rsid w:val="00E7626F"/>
    <w:pPr>
      <w:spacing w:line="260" w:lineRule="atLeas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yfs1.northernbeaches.nsw.gov.au\WordTemplates\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0</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Blank</vt:lpstr>
    </vt:vector>
  </TitlesOfParts>
  <Company>Warringah Council</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Paul Christmas</dc:creator>
  <cp:lastModifiedBy>Lindy Riese</cp:lastModifiedBy>
  <cp:revision>2</cp:revision>
  <dcterms:created xsi:type="dcterms:W3CDTF">2019-05-29T05:29:00Z</dcterms:created>
  <dcterms:modified xsi:type="dcterms:W3CDTF">2019-05-29T05:29:00Z</dcterms:modified>
</cp:coreProperties>
</file>